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9B24" w14:textId="77777777" w:rsidR="00DB6AB8" w:rsidRDefault="00DB6AB8" w:rsidP="00DB6AB8">
      <w:pPr>
        <w:pStyle w:val="Title"/>
        <w:jc w:val="right"/>
      </w:pPr>
      <w:r>
        <w:rPr>
          <w:noProof/>
        </w:rPr>
        <w:drawing>
          <wp:inline distT="0" distB="0" distL="0" distR="0" wp14:anchorId="6C1D1187" wp14:editId="57966336">
            <wp:extent cx="1078994" cy="448057"/>
            <wp:effectExtent l="0" t="0" r="6985" b="9525"/>
            <wp:docPr id="2142282417"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82417" name="Pictur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61D63602" w14:textId="52153DE7" w:rsidR="000A67EF" w:rsidRDefault="00000000">
      <w:pPr>
        <w:pStyle w:val="Title"/>
      </w:pPr>
      <w:r>
        <w:t>Ashfield</w:t>
      </w:r>
      <w:r>
        <w:rPr>
          <w:spacing w:val="-8"/>
        </w:rPr>
        <w:t xml:space="preserve"> </w:t>
      </w:r>
      <w:r>
        <w:t>District</w:t>
      </w:r>
      <w:r>
        <w:rPr>
          <w:spacing w:val="-8"/>
        </w:rPr>
        <w:t xml:space="preserve"> </w:t>
      </w:r>
      <w:r>
        <w:t>Council</w:t>
      </w:r>
      <w:r>
        <w:rPr>
          <w:spacing w:val="-4"/>
        </w:rPr>
        <w:t xml:space="preserve"> </w:t>
      </w:r>
      <w:r>
        <w:t>-</w:t>
      </w:r>
      <w:r>
        <w:rPr>
          <w:spacing w:val="-6"/>
        </w:rPr>
        <w:t xml:space="preserve"> </w:t>
      </w:r>
      <w:r>
        <w:t>Gender</w:t>
      </w:r>
      <w:r>
        <w:rPr>
          <w:spacing w:val="-6"/>
        </w:rPr>
        <w:t xml:space="preserve"> </w:t>
      </w:r>
      <w:r>
        <w:t>Pay</w:t>
      </w:r>
      <w:r>
        <w:rPr>
          <w:spacing w:val="-5"/>
        </w:rPr>
        <w:t xml:space="preserve"> </w:t>
      </w:r>
      <w:r>
        <w:t>Gap</w:t>
      </w:r>
      <w:r>
        <w:rPr>
          <w:spacing w:val="-5"/>
        </w:rPr>
        <w:t xml:space="preserve"> </w:t>
      </w:r>
      <w:r>
        <w:t>Information</w:t>
      </w:r>
      <w:r>
        <w:rPr>
          <w:spacing w:val="-1"/>
        </w:rPr>
        <w:t xml:space="preserve"> </w:t>
      </w:r>
      <w:r>
        <w:t>–</w:t>
      </w:r>
      <w:r>
        <w:rPr>
          <w:spacing w:val="-6"/>
        </w:rPr>
        <w:t xml:space="preserve"> </w:t>
      </w:r>
      <w:r>
        <w:rPr>
          <w:spacing w:val="-4"/>
        </w:rPr>
        <w:t>2020</w:t>
      </w:r>
    </w:p>
    <w:p w14:paraId="71E2C8FC" w14:textId="77777777" w:rsidR="000A67EF" w:rsidRDefault="00000000">
      <w:pPr>
        <w:pStyle w:val="Heading1"/>
        <w:numPr>
          <w:ilvl w:val="0"/>
          <w:numId w:val="1"/>
        </w:numPr>
        <w:tabs>
          <w:tab w:val="left" w:pos="981"/>
        </w:tabs>
        <w:spacing w:before="248"/>
        <w:ind w:left="981" w:hanging="861"/>
      </w:pPr>
      <w:r>
        <w:rPr>
          <w:spacing w:val="-2"/>
        </w:rPr>
        <w:t>Introduction</w:t>
      </w:r>
    </w:p>
    <w:p w14:paraId="244558B8" w14:textId="77777777" w:rsidR="000A67EF" w:rsidRDefault="000A67EF">
      <w:pPr>
        <w:pStyle w:val="BodyText"/>
        <w:rPr>
          <w:b/>
        </w:rPr>
      </w:pPr>
    </w:p>
    <w:p w14:paraId="13695759" w14:textId="77777777" w:rsidR="000A67EF" w:rsidRDefault="00000000">
      <w:pPr>
        <w:pStyle w:val="BodyText"/>
        <w:ind w:left="120" w:right="152"/>
        <w:jc w:val="both"/>
      </w:pPr>
      <w:r>
        <w:t>Under the Equality Act 2010 (Gender Pay Gap Information) Regulations 2017 the Council</w:t>
      </w:r>
      <w:r>
        <w:rPr>
          <w:spacing w:val="-15"/>
        </w:rPr>
        <w:t xml:space="preserve"> </w:t>
      </w:r>
      <w:r>
        <w:t>is</w:t>
      </w:r>
      <w:r>
        <w:rPr>
          <w:spacing w:val="-14"/>
        </w:rPr>
        <w:t xml:space="preserve"> </w:t>
      </w:r>
      <w:r>
        <w:t>required</w:t>
      </w:r>
      <w:r>
        <w:rPr>
          <w:spacing w:val="-13"/>
        </w:rPr>
        <w:t xml:space="preserve"> </w:t>
      </w:r>
      <w:r>
        <w:t>by</w:t>
      </w:r>
      <w:r>
        <w:rPr>
          <w:spacing w:val="-14"/>
        </w:rPr>
        <w:t xml:space="preserve"> </w:t>
      </w:r>
      <w:r>
        <w:t>law</w:t>
      </w:r>
      <w:r>
        <w:rPr>
          <w:spacing w:val="-14"/>
        </w:rPr>
        <w:t xml:space="preserve"> </w:t>
      </w:r>
      <w:r>
        <w:t>to</w:t>
      </w:r>
      <w:r>
        <w:rPr>
          <w:spacing w:val="-13"/>
        </w:rPr>
        <w:t xml:space="preserve"> </w:t>
      </w:r>
      <w:r>
        <w:t>publish</w:t>
      </w:r>
      <w:r>
        <w:rPr>
          <w:spacing w:val="-16"/>
        </w:rPr>
        <w:t xml:space="preserve"> </w:t>
      </w:r>
      <w:r>
        <w:t>an</w:t>
      </w:r>
      <w:r>
        <w:rPr>
          <w:spacing w:val="-13"/>
        </w:rPr>
        <w:t xml:space="preserve"> </w:t>
      </w:r>
      <w:r>
        <w:t>annual</w:t>
      </w:r>
      <w:r>
        <w:rPr>
          <w:spacing w:val="-14"/>
        </w:rPr>
        <w:t xml:space="preserve"> </w:t>
      </w:r>
      <w:r>
        <w:t>gender</w:t>
      </w:r>
      <w:r>
        <w:rPr>
          <w:spacing w:val="-15"/>
        </w:rPr>
        <w:t xml:space="preserve"> </w:t>
      </w:r>
      <w:r>
        <w:t>pay</w:t>
      </w:r>
      <w:r>
        <w:rPr>
          <w:spacing w:val="-14"/>
        </w:rPr>
        <w:t xml:space="preserve"> </w:t>
      </w:r>
      <w:r>
        <w:t>gap</w:t>
      </w:r>
      <w:r>
        <w:rPr>
          <w:spacing w:val="-13"/>
        </w:rPr>
        <w:t xml:space="preserve"> </w:t>
      </w:r>
      <w:r>
        <w:t>report.</w:t>
      </w:r>
      <w:r>
        <w:rPr>
          <w:spacing w:val="-13"/>
        </w:rPr>
        <w:t xml:space="preserve"> </w:t>
      </w:r>
      <w:r>
        <w:t>The</w:t>
      </w:r>
      <w:r>
        <w:rPr>
          <w:spacing w:val="-13"/>
        </w:rPr>
        <w:t xml:space="preserve"> </w:t>
      </w:r>
      <w:r>
        <w:t>information contained within this report is for the snapshot date of 31 March 2020.</w:t>
      </w:r>
    </w:p>
    <w:p w14:paraId="4B48B644" w14:textId="77777777" w:rsidR="000A67EF" w:rsidRDefault="000A67EF">
      <w:pPr>
        <w:pStyle w:val="BodyText"/>
      </w:pPr>
    </w:p>
    <w:p w14:paraId="3F852CBD" w14:textId="77777777" w:rsidR="000A67EF" w:rsidRDefault="00000000">
      <w:pPr>
        <w:pStyle w:val="Heading1"/>
        <w:numPr>
          <w:ilvl w:val="0"/>
          <w:numId w:val="1"/>
        </w:numPr>
        <w:tabs>
          <w:tab w:val="left" w:pos="840"/>
        </w:tabs>
        <w:ind w:left="840" w:hanging="720"/>
      </w:pPr>
      <w:r>
        <w:t>Summary</w:t>
      </w:r>
      <w:r>
        <w:rPr>
          <w:spacing w:val="-4"/>
        </w:rPr>
        <w:t xml:space="preserve"> </w:t>
      </w:r>
      <w:r>
        <w:t>of</w:t>
      </w:r>
      <w:r>
        <w:rPr>
          <w:spacing w:val="-2"/>
        </w:rPr>
        <w:t xml:space="preserve"> </w:t>
      </w:r>
      <w:r>
        <w:rPr>
          <w:spacing w:val="-4"/>
        </w:rPr>
        <w:t>data</w:t>
      </w:r>
    </w:p>
    <w:p w14:paraId="731226EC" w14:textId="77777777" w:rsidR="000A67EF" w:rsidRDefault="000A67EF">
      <w:pPr>
        <w:pStyle w:val="BodyText"/>
        <w:spacing w:before="1"/>
        <w:rPr>
          <w:b/>
        </w:rPr>
      </w:pPr>
    </w:p>
    <w:p w14:paraId="1A6C2AE4" w14:textId="77777777" w:rsidR="000A67EF" w:rsidRDefault="00000000">
      <w:pPr>
        <w:pStyle w:val="ListParagraph"/>
        <w:numPr>
          <w:ilvl w:val="1"/>
          <w:numId w:val="1"/>
        </w:numPr>
        <w:tabs>
          <w:tab w:val="left" w:pos="840"/>
        </w:tabs>
        <w:spacing w:line="292" w:lineRule="exact"/>
        <w:rPr>
          <w:sz w:val="24"/>
        </w:rPr>
      </w:pPr>
      <w:r>
        <w:rPr>
          <w:sz w:val="24"/>
        </w:rPr>
        <w:t>The</w:t>
      </w:r>
      <w:r>
        <w:rPr>
          <w:spacing w:val="-4"/>
          <w:sz w:val="24"/>
        </w:rPr>
        <w:t xml:space="preserve"> </w:t>
      </w:r>
      <w:r>
        <w:rPr>
          <w:sz w:val="24"/>
        </w:rPr>
        <w:t>mean</w:t>
      </w:r>
      <w:r>
        <w:rPr>
          <w:spacing w:val="-1"/>
          <w:sz w:val="24"/>
        </w:rPr>
        <w:t xml:space="preserve"> </w:t>
      </w:r>
      <w:r>
        <w:rPr>
          <w:sz w:val="24"/>
        </w:rPr>
        <w:t>gender</w:t>
      </w:r>
      <w:r>
        <w:rPr>
          <w:spacing w:val="-1"/>
          <w:sz w:val="24"/>
        </w:rPr>
        <w:t xml:space="preserve"> </w:t>
      </w:r>
      <w:r>
        <w:rPr>
          <w:sz w:val="24"/>
        </w:rPr>
        <w:t>pay</w:t>
      </w:r>
      <w:r>
        <w:rPr>
          <w:spacing w:val="-4"/>
          <w:sz w:val="24"/>
        </w:rPr>
        <w:t xml:space="preserve"> </w:t>
      </w:r>
      <w:r>
        <w:rPr>
          <w:sz w:val="24"/>
        </w:rPr>
        <w:t>gap</w:t>
      </w:r>
      <w:r>
        <w:rPr>
          <w:spacing w:val="-1"/>
          <w:sz w:val="24"/>
        </w:rPr>
        <w:t xml:space="preserve"> </w:t>
      </w:r>
      <w:r>
        <w:rPr>
          <w:sz w:val="24"/>
        </w:rPr>
        <w:t>is</w:t>
      </w:r>
      <w:r>
        <w:rPr>
          <w:spacing w:val="3"/>
          <w:sz w:val="24"/>
        </w:rPr>
        <w:t xml:space="preserve"> </w:t>
      </w:r>
      <w:r>
        <w:rPr>
          <w:sz w:val="24"/>
        </w:rPr>
        <w:t>-</w:t>
      </w:r>
      <w:r>
        <w:rPr>
          <w:spacing w:val="-4"/>
          <w:sz w:val="24"/>
        </w:rPr>
        <w:t>1.69%</w:t>
      </w:r>
    </w:p>
    <w:p w14:paraId="42B629BF" w14:textId="77777777" w:rsidR="000A67EF" w:rsidRDefault="00000000">
      <w:pPr>
        <w:pStyle w:val="ListParagraph"/>
        <w:numPr>
          <w:ilvl w:val="1"/>
          <w:numId w:val="1"/>
        </w:numPr>
        <w:tabs>
          <w:tab w:val="left" w:pos="840"/>
        </w:tabs>
        <w:spacing w:line="292" w:lineRule="exact"/>
        <w:rPr>
          <w:sz w:val="24"/>
        </w:rPr>
      </w:pPr>
      <w:r>
        <w:rPr>
          <w:sz w:val="24"/>
        </w:rPr>
        <w:t>The</w:t>
      </w:r>
      <w:r>
        <w:rPr>
          <w:spacing w:val="-4"/>
          <w:sz w:val="24"/>
        </w:rPr>
        <w:t xml:space="preserve"> </w:t>
      </w:r>
      <w:r>
        <w:rPr>
          <w:sz w:val="24"/>
        </w:rPr>
        <w:t>median</w:t>
      </w:r>
      <w:r>
        <w:rPr>
          <w:spacing w:val="-2"/>
          <w:sz w:val="24"/>
        </w:rPr>
        <w:t xml:space="preserve"> </w:t>
      </w:r>
      <w:r>
        <w:rPr>
          <w:sz w:val="24"/>
        </w:rPr>
        <w:t>gender</w:t>
      </w:r>
      <w:r>
        <w:rPr>
          <w:spacing w:val="-1"/>
          <w:sz w:val="24"/>
        </w:rPr>
        <w:t xml:space="preserve"> </w:t>
      </w:r>
      <w:r>
        <w:rPr>
          <w:sz w:val="24"/>
        </w:rPr>
        <w:t>pay</w:t>
      </w:r>
      <w:r>
        <w:rPr>
          <w:spacing w:val="-2"/>
          <w:sz w:val="24"/>
        </w:rPr>
        <w:t xml:space="preserve"> </w:t>
      </w:r>
      <w:r>
        <w:rPr>
          <w:sz w:val="24"/>
        </w:rPr>
        <w:t>gap</w:t>
      </w:r>
      <w:r>
        <w:rPr>
          <w:spacing w:val="-4"/>
          <w:sz w:val="24"/>
        </w:rPr>
        <w:t xml:space="preserve"> </w:t>
      </w:r>
      <w:r>
        <w:rPr>
          <w:sz w:val="24"/>
        </w:rPr>
        <w:t>is</w:t>
      </w:r>
      <w:r>
        <w:rPr>
          <w:spacing w:val="3"/>
          <w:sz w:val="24"/>
        </w:rPr>
        <w:t xml:space="preserve"> </w:t>
      </w:r>
      <w:r>
        <w:rPr>
          <w:sz w:val="24"/>
        </w:rPr>
        <w:t>-</w:t>
      </w:r>
      <w:r>
        <w:rPr>
          <w:spacing w:val="-4"/>
          <w:sz w:val="24"/>
        </w:rPr>
        <w:t>4.04%</w:t>
      </w:r>
    </w:p>
    <w:p w14:paraId="616C51B6" w14:textId="77777777" w:rsidR="000A67EF" w:rsidRDefault="000A67EF">
      <w:pPr>
        <w:pStyle w:val="BodyText"/>
        <w:spacing w:before="44"/>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26"/>
        <w:gridCol w:w="1843"/>
        <w:gridCol w:w="2693"/>
      </w:tblGrid>
      <w:tr w:rsidR="000A67EF" w14:paraId="2E982353" w14:textId="77777777">
        <w:trPr>
          <w:trHeight w:val="278"/>
        </w:trPr>
        <w:tc>
          <w:tcPr>
            <w:tcW w:w="2410" w:type="dxa"/>
          </w:tcPr>
          <w:p w14:paraId="13879E58" w14:textId="77777777" w:rsidR="000A67EF" w:rsidRDefault="00000000">
            <w:pPr>
              <w:pStyle w:val="TableParagraph"/>
              <w:spacing w:before="2"/>
              <w:ind w:left="11" w:right="2"/>
              <w:rPr>
                <w:b/>
                <w:sz w:val="24"/>
              </w:rPr>
            </w:pPr>
            <w:r>
              <w:rPr>
                <w:b/>
                <w:spacing w:val="-2"/>
                <w:sz w:val="24"/>
              </w:rPr>
              <w:t>Quartile</w:t>
            </w:r>
          </w:p>
        </w:tc>
        <w:tc>
          <w:tcPr>
            <w:tcW w:w="2126" w:type="dxa"/>
          </w:tcPr>
          <w:p w14:paraId="54D246AC" w14:textId="77777777" w:rsidR="000A67EF" w:rsidRDefault="00000000">
            <w:pPr>
              <w:pStyle w:val="TableParagraph"/>
              <w:spacing w:before="2"/>
              <w:ind w:left="12" w:right="1"/>
              <w:rPr>
                <w:b/>
                <w:sz w:val="24"/>
              </w:rPr>
            </w:pPr>
            <w:r>
              <w:rPr>
                <w:b/>
                <w:spacing w:val="-2"/>
                <w:sz w:val="24"/>
              </w:rPr>
              <w:t>Females</w:t>
            </w:r>
          </w:p>
        </w:tc>
        <w:tc>
          <w:tcPr>
            <w:tcW w:w="1843" w:type="dxa"/>
          </w:tcPr>
          <w:p w14:paraId="21EE10E0" w14:textId="77777777" w:rsidR="000A67EF" w:rsidRDefault="00000000">
            <w:pPr>
              <w:pStyle w:val="TableParagraph"/>
              <w:spacing w:before="2"/>
              <w:ind w:right="1"/>
              <w:rPr>
                <w:b/>
                <w:sz w:val="24"/>
              </w:rPr>
            </w:pPr>
            <w:r>
              <w:rPr>
                <w:b/>
                <w:spacing w:val="-2"/>
                <w:sz w:val="24"/>
              </w:rPr>
              <w:t>Males</w:t>
            </w:r>
          </w:p>
        </w:tc>
        <w:tc>
          <w:tcPr>
            <w:tcW w:w="2693" w:type="dxa"/>
          </w:tcPr>
          <w:p w14:paraId="450A136D" w14:textId="77777777" w:rsidR="000A67EF" w:rsidRDefault="00000000">
            <w:pPr>
              <w:pStyle w:val="TableParagraph"/>
              <w:spacing w:before="2"/>
              <w:ind w:right="2"/>
              <w:rPr>
                <w:b/>
                <w:sz w:val="24"/>
              </w:rPr>
            </w:pPr>
            <w:r>
              <w:rPr>
                <w:b/>
                <w:sz w:val="24"/>
              </w:rPr>
              <w:t>Salary</w:t>
            </w:r>
            <w:r>
              <w:rPr>
                <w:b/>
                <w:spacing w:val="-3"/>
                <w:sz w:val="24"/>
              </w:rPr>
              <w:t xml:space="preserve"> </w:t>
            </w:r>
            <w:r>
              <w:rPr>
                <w:b/>
                <w:spacing w:val="-2"/>
                <w:sz w:val="24"/>
              </w:rPr>
              <w:t>range</w:t>
            </w:r>
          </w:p>
        </w:tc>
      </w:tr>
      <w:tr w:rsidR="000A67EF" w14:paraId="0577EE9B" w14:textId="77777777">
        <w:trPr>
          <w:trHeight w:val="275"/>
        </w:trPr>
        <w:tc>
          <w:tcPr>
            <w:tcW w:w="2410" w:type="dxa"/>
          </w:tcPr>
          <w:p w14:paraId="1D90021E" w14:textId="77777777" w:rsidR="000A67EF" w:rsidRDefault="00000000">
            <w:pPr>
              <w:pStyle w:val="TableParagraph"/>
              <w:ind w:left="11"/>
              <w:rPr>
                <w:sz w:val="24"/>
              </w:rPr>
            </w:pPr>
            <w:r>
              <w:rPr>
                <w:spacing w:val="-2"/>
                <w:sz w:val="24"/>
              </w:rPr>
              <w:t>Lower</w:t>
            </w:r>
          </w:p>
        </w:tc>
        <w:tc>
          <w:tcPr>
            <w:tcW w:w="2126" w:type="dxa"/>
          </w:tcPr>
          <w:p w14:paraId="38AE0002" w14:textId="77777777" w:rsidR="000A67EF" w:rsidRDefault="00000000">
            <w:pPr>
              <w:pStyle w:val="TableParagraph"/>
              <w:ind w:left="12"/>
              <w:rPr>
                <w:sz w:val="24"/>
              </w:rPr>
            </w:pPr>
            <w:r>
              <w:rPr>
                <w:spacing w:val="-2"/>
                <w:sz w:val="24"/>
              </w:rPr>
              <w:t>44.9%</w:t>
            </w:r>
          </w:p>
        </w:tc>
        <w:tc>
          <w:tcPr>
            <w:tcW w:w="1843" w:type="dxa"/>
          </w:tcPr>
          <w:p w14:paraId="06430EAB" w14:textId="77777777" w:rsidR="000A67EF" w:rsidRDefault="00000000">
            <w:pPr>
              <w:pStyle w:val="TableParagraph"/>
              <w:rPr>
                <w:sz w:val="24"/>
              </w:rPr>
            </w:pPr>
            <w:r>
              <w:rPr>
                <w:spacing w:val="-2"/>
                <w:sz w:val="24"/>
              </w:rPr>
              <w:t>55.1%</w:t>
            </w:r>
          </w:p>
        </w:tc>
        <w:tc>
          <w:tcPr>
            <w:tcW w:w="2693" w:type="dxa"/>
          </w:tcPr>
          <w:p w14:paraId="5596639A" w14:textId="77777777" w:rsidR="000A67EF" w:rsidRDefault="00000000">
            <w:pPr>
              <w:pStyle w:val="TableParagraph"/>
              <w:rPr>
                <w:sz w:val="24"/>
              </w:rPr>
            </w:pPr>
            <w:r>
              <w:rPr>
                <w:sz w:val="24"/>
              </w:rPr>
              <w:t>£18426</w:t>
            </w:r>
            <w:r>
              <w:rPr>
                <w:spacing w:val="-6"/>
                <w:sz w:val="24"/>
              </w:rPr>
              <w:t xml:space="preserve"> </w:t>
            </w:r>
            <w:r>
              <w:rPr>
                <w:sz w:val="24"/>
              </w:rPr>
              <w:t>-</w:t>
            </w:r>
            <w:r>
              <w:rPr>
                <w:spacing w:val="-7"/>
                <w:sz w:val="24"/>
              </w:rPr>
              <w:t xml:space="preserve"> </w:t>
            </w:r>
            <w:r>
              <w:rPr>
                <w:spacing w:val="-2"/>
                <w:sz w:val="24"/>
              </w:rPr>
              <w:t>£20344</w:t>
            </w:r>
          </w:p>
        </w:tc>
      </w:tr>
      <w:tr w:rsidR="000A67EF" w14:paraId="0F509BD5" w14:textId="77777777">
        <w:trPr>
          <w:trHeight w:val="275"/>
        </w:trPr>
        <w:tc>
          <w:tcPr>
            <w:tcW w:w="2410" w:type="dxa"/>
          </w:tcPr>
          <w:p w14:paraId="650953BF" w14:textId="77777777" w:rsidR="000A67EF" w:rsidRDefault="00000000">
            <w:pPr>
              <w:pStyle w:val="TableParagraph"/>
              <w:ind w:left="11" w:right="4"/>
              <w:rPr>
                <w:sz w:val="24"/>
              </w:rPr>
            </w:pPr>
            <w:r>
              <w:rPr>
                <w:sz w:val="24"/>
              </w:rPr>
              <w:t>Lower</w:t>
            </w:r>
            <w:r>
              <w:rPr>
                <w:spacing w:val="-2"/>
                <w:sz w:val="24"/>
              </w:rPr>
              <w:t xml:space="preserve"> Middle</w:t>
            </w:r>
          </w:p>
        </w:tc>
        <w:tc>
          <w:tcPr>
            <w:tcW w:w="2126" w:type="dxa"/>
          </w:tcPr>
          <w:p w14:paraId="31DEC35E" w14:textId="77777777" w:rsidR="000A67EF" w:rsidRDefault="00000000">
            <w:pPr>
              <w:pStyle w:val="TableParagraph"/>
              <w:ind w:left="12"/>
              <w:rPr>
                <w:sz w:val="24"/>
              </w:rPr>
            </w:pPr>
            <w:r>
              <w:rPr>
                <w:spacing w:val="-2"/>
                <w:sz w:val="24"/>
              </w:rPr>
              <w:t>30.6%</w:t>
            </w:r>
          </w:p>
        </w:tc>
        <w:tc>
          <w:tcPr>
            <w:tcW w:w="1843" w:type="dxa"/>
          </w:tcPr>
          <w:p w14:paraId="49F9C617" w14:textId="77777777" w:rsidR="000A67EF" w:rsidRDefault="00000000">
            <w:pPr>
              <w:pStyle w:val="TableParagraph"/>
              <w:rPr>
                <w:sz w:val="24"/>
              </w:rPr>
            </w:pPr>
            <w:r>
              <w:rPr>
                <w:spacing w:val="-2"/>
                <w:sz w:val="24"/>
              </w:rPr>
              <w:t>69.4%</w:t>
            </w:r>
          </w:p>
        </w:tc>
        <w:tc>
          <w:tcPr>
            <w:tcW w:w="2693" w:type="dxa"/>
          </w:tcPr>
          <w:p w14:paraId="0E312B23" w14:textId="77777777" w:rsidR="000A67EF" w:rsidRDefault="00000000">
            <w:pPr>
              <w:pStyle w:val="TableParagraph"/>
              <w:rPr>
                <w:sz w:val="24"/>
              </w:rPr>
            </w:pPr>
            <w:r>
              <w:rPr>
                <w:sz w:val="24"/>
              </w:rPr>
              <w:t>£20344</w:t>
            </w:r>
            <w:r>
              <w:rPr>
                <w:spacing w:val="-5"/>
                <w:sz w:val="24"/>
              </w:rPr>
              <w:t xml:space="preserve"> </w:t>
            </w:r>
            <w:r>
              <w:rPr>
                <w:sz w:val="24"/>
              </w:rPr>
              <w:t>-</w:t>
            </w:r>
            <w:r>
              <w:rPr>
                <w:spacing w:val="-7"/>
                <w:sz w:val="24"/>
              </w:rPr>
              <w:t xml:space="preserve"> </w:t>
            </w:r>
            <w:r>
              <w:rPr>
                <w:spacing w:val="-2"/>
                <w:sz w:val="24"/>
              </w:rPr>
              <w:t>£23836</w:t>
            </w:r>
          </w:p>
        </w:tc>
      </w:tr>
      <w:tr w:rsidR="000A67EF" w14:paraId="7E997814" w14:textId="77777777">
        <w:trPr>
          <w:trHeight w:val="275"/>
        </w:trPr>
        <w:tc>
          <w:tcPr>
            <w:tcW w:w="2410" w:type="dxa"/>
          </w:tcPr>
          <w:p w14:paraId="2277041C" w14:textId="77777777" w:rsidR="000A67EF" w:rsidRDefault="00000000">
            <w:pPr>
              <w:pStyle w:val="TableParagraph"/>
              <w:ind w:left="11" w:right="4"/>
              <w:rPr>
                <w:sz w:val="24"/>
              </w:rPr>
            </w:pPr>
            <w:r>
              <w:rPr>
                <w:sz w:val="24"/>
              </w:rPr>
              <w:t>Upper</w:t>
            </w:r>
            <w:r>
              <w:rPr>
                <w:spacing w:val="-9"/>
                <w:sz w:val="24"/>
              </w:rPr>
              <w:t xml:space="preserve"> </w:t>
            </w:r>
            <w:r>
              <w:rPr>
                <w:spacing w:val="-2"/>
                <w:sz w:val="24"/>
              </w:rPr>
              <w:t>Middle</w:t>
            </w:r>
          </w:p>
        </w:tc>
        <w:tc>
          <w:tcPr>
            <w:tcW w:w="2126" w:type="dxa"/>
          </w:tcPr>
          <w:p w14:paraId="4AE575D2" w14:textId="77777777" w:rsidR="000A67EF" w:rsidRDefault="00000000">
            <w:pPr>
              <w:pStyle w:val="TableParagraph"/>
              <w:ind w:left="12"/>
              <w:rPr>
                <w:sz w:val="24"/>
              </w:rPr>
            </w:pPr>
            <w:r>
              <w:rPr>
                <w:spacing w:val="-2"/>
                <w:sz w:val="24"/>
              </w:rPr>
              <w:t>49.7%</w:t>
            </w:r>
          </w:p>
        </w:tc>
        <w:tc>
          <w:tcPr>
            <w:tcW w:w="1843" w:type="dxa"/>
          </w:tcPr>
          <w:p w14:paraId="5FE5D659" w14:textId="77777777" w:rsidR="000A67EF" w:rsidRDefault="00000000">
            <w:pPr>
              <w:pStyle w:val="TableParagraph"/>
              <w:rPr>
                <w:sz w:val="24"/>
              </w:rPr>
            </w:pPr>
            <w:r>
              <w:rPr>
                <w:spacing w:val="-2"/>
                <w:sz w:val="24"/>
              </w:rPr>
              <w:t>50.3%</w:t>
            </w:r>
          </w:p>
        </w:tc>
        <w:tc>
          <w:tcPr>
            <w:tcW w:w="2693" w:type="dxa"/>
          </w:tcPr>
          <w:p w14:paraId="0F5D051A" w14:textId="77777777" w:rsidR="000A67EF" w:rsidRDefault="00000000">
            <w:pPr>
              <w:pStyle w:val="TableParagraph"/>
              <w:rPr>
                <w:sz w:val="24"/>
              </w:rPr>
            </w:pPr>
            <w:r>
              <w:rPr>
                <w:sz w:val="24"/>
              </w:rPr>
              <w:t>£23836</w:t>
            </w:r>
            <w:r>
              <w:rPr>
                <w:spacing w:val="-6"/>
                <w:sz w:val="24"/>
              </w:rPr>
              <w:t xml:space="preserve"> </w:t>
            </w:r>
            <w:r>
              <w:rPr>
                <w:sz w:val="24"/>
              </w:rPr>
              <w:t>-</w:t>
            </w:r>
            <w:r>
              <w:rPr>
                <w:spacing w:val="-7"/>
                <w:sz w:val="24"/>
              </w:rPr>
              <w:t xml:space="preserve"> </w:t>
            </w:r>
            <w:r>
              <w:rPr>
                <w:spacing w:val="-2"/>
                <w:sz w:val="24"/>
              </w:rPr>
              <w:t>£29518</w:t>
            </w:r>
          </w:p>
        </w:tc>
      </w:tr>
      <w:tr w:rsidR="000A67EF" w14:paraId="1C600A16" w14:textId="77777777">
        <w:trPr>
          <w:trHeight w:val="275"/>
        </w:trPr>
        <w:tc>
          <w:tcPr>
            <w:tcW w:w="2410" w:type="dxa"/>
          </w:tcPr>
          <w:p w14:paraId="60A09BF6" w14:textId="77777777" w:rsidR="000A67EF" w:rsidRDefault="00000000">
            <w:pPr>
              <w:pStyle w:val="TableParagraph"/>
              <w:ind w:left="11"/>
              <w:rPr>
                <w:sz w:val="24"/>
              </w:rPr>
            </w:pPr>
            <w:r>
              <w:rPr>
                <w:spacing w:val="-2"/>
                <w:sz w:val="24"/>
              </w:rPr>
              <w:t>Upper</w:t>
            </w:r>
          </w:p>
        </w:tc>
        <w:tc>
          <w:tcPr>
            <w:tcW w:w="2126" w:type="dxa"/>
          </w:tcPr>
          <w:p w14:paraId="0C8C2096" w14:textId="77777777" w:rsidR="000A67EF" w:rsidRDefault="00000000">
            <w:pPr>
              <w:pStyle w:val="TableParagraph"/>
              <w:ind w:left="12"/>
              <w:rPr>
                <w:sz w:val="24"/>
              </w:rPr>
            </w:pPr>
            <w:r>
              <w:rPr>
                <w:spacing w:val="-2"/>
                <w:sz w:val="24"/>
              </w:rPr>
              <w:t>39.9%</w:t>
            </w:r>
          </w:p>
        </w:tc>
        <w:tc>
          <w:tcPr>
            <w:tcW w:w="1843" w:type="dxa"/>
          </w:tcPr>
          <w:p w14:paraId="76CAC366" w14:textId="77777777" w:rsidR="000A67EF" w:rsidRDefault="00000000">
            <w:pPr>
              <w:pStyle w:val="TableParagraph"/>
              <w:rPr>
                <w:sz w:val="24"/>
              </w:rPr>
            </w:pPr>
            <w:r>
              <w:rPr>
                <w:spacing w:val="-2"/>
                <w:sz w:val="24"/>
              </w:rPr>
              <w:t>60.1%</w:t>
            </w:r>
          </w:p>
        </w:tc>
        <w:tc>
          <w:tcPr>
            <w:tcW w:w="2693" w:type="dxa"/>
          </w:tcPr>
          <w:p w14:paraId="5BB72700" w14:textId="77777777" w:rsidR="000A67EF" w:rsidRDefault="00000000">
            <w:pPr>
              <w:pStyle w:val="TableParagraph"/>
              <w:ind w:right="3"/>
              <w:rPr>
                <w:sz w:val="24"/>
              </w:rPr>
            </w:pPr>
            <w:r>
              <w:rPr>
                <w:sz w:val="24"/>
              </w:rPr>
              <w:t>£29518</w:t>
            </w:r>
            <w:r>
              <w:rPr>
                <w:spacing w:val="-8"/>
                <w:sz w:val="24"/>
              </w:rPr>
              <w:t xml:space="preserve"> </w:t>
            </w:r>
            <w:r>
              <w:rPr>
                <w:sz w:val="24"/>
              </w:rPr>
              <w:t>and</w:t>
            </w:r>
            <w:r>
              <w:rPr>
                <w:spacing w:val="-6"/>
                <w:sz w:val="24"/>
              </w:rPr>
              <w:t xml:space="preserve"> </w:t>
            </w:r>
            <w:r>
              <w:rPr>
                <w:spacing w:val="-2"/>
                <w:sz w:val="24"/>
              </w:rPr>
              <w:t>above</w:t>
            </w:r>
          </w:p>
        </w:tc>
      </w:tr>
    </w:tbl>
    <w:p w14:paraId="2B6FB4BA" w14:textId="77777777" w:rsidR="000A67EF" w:rsidRDefault="000A67EF">
      <w:pPr>
        <w:pStyle w:val="BodyText"/>
        <w:spacing w:before="14"/>
      </w:pPr>
    </w:p>
    <w:p w14:paraId="77750907" w14:textId="77777777" w:rsidR="000A67EF" w:rsidRDefault="00000000">
      <w:pPr>
        <w:pStyle w:val="BodyText"/>
        <w:spacing w:line="249" w:lineRule="auto"/>
        <w:ind w:left="120" w:right="153"/>
        <w:jc w:val="both"/>
      </w:pPr>
      <w:r>
        <w:t>The mean is defined as the average of the figures and is calculated by adding up all the figures and diving by the number there are. The median is defined as the salary that</w:t>
      </w:r>
      <w:r>
        <w:rPr>
          <w:spacing w:val="-13"/>
        </w:rPr>
        <w:t xml:space="preserve"> </w:t>
      </w:r>
      <w:r>
        <w:t>lies</w:t>
      </w:r>
      <w:r>
        <w:rPr>
          <w:spacing w:val="-14"/>
        </w:rPr>
        <w:t xml:space="preserve"> </w:t>
      </w:r>
      <w:r>
        <w:t>at</w:t>
      </w:r>
      <w:r>
        <w:rPr>
          <w:spacing w:val="-12"/>
        </w:rPr>
        <w:t xml:space="preserve"> </w:t>
      </w:r>
      <w:r>
        <w:t>the</w:t>
      </w:r>
      <w:r>
        <w:rPr>
          <w:spacing w:val="-16"/>
        </w:rPr>
        <w:t xml:space="preserve"> </w:t>
      </w:r>
      <w:r>
        <w:t>midpoint</w:t>
      </w:r>
      <w:r>
        <w:rPr>
          <w:spacing w:val="-14"/>
        </w:rPr>
        <w:t xml:space="preserve"> </w:t>
      </w:r>
      <w:r>
        <w:t>and</w:t>
      </w:r>
      <w:r>
        <w:rPr>
          <w:spacing w:val="-13"/>
        </w:rPr>
        <w:t xml:space="preserve"> </w:t>
      </w:r>
      <w:r>
        <w:t>is</w:t>
      </w:r>
      <w:r>
        <w:rPr>
          <w:spacing w:val="-14"/>
        </w:rPr>
        <w:t xml:space="preserve"> </w:t>
      </w:r>
      <w:r>
        <w:t>calculated</w:t>
      </w:r>
      <w:r>
        <w:rPr>
          <w:spacing w:val="-13"/>
        </w:rPr>
        <w:t xml:space="preserve"> </w:t>
      </w:r>
      <w:r>
        <w:t>by</w:t>
      </w:r>
      <w:r>
        <w:rPr>
          <w:spacing w:val="-14"/>
        </w:rPr>
        <w:t xml:space="preserve"> </w:t>
      </w:r>
      <w:r>
        <w:t>ordering</w:t>
      </w:r>
      <w:r>
        <w:rPr>
          <w:spacing w:val="-13"/>
        </w:rPr>
        <w:t xml:space="preserve"> </w:t>
      </w:r>
      <w:r>
        <w:t>all</w:t>
      </w:r>
      <w:r>
        <w:rPr>
          <w:spacing w:val="-15"/>
        </w:rPr>
        <w:t xml:space="preserve"> </w:t>
      </w:r>
      <w:r>
        <w:t>salaries</w:t>
      </w:r>
      <w:r>
        <w:rPr>
          <w:spacing w:val="-14"/>
        </w:rPr>
        <w:t xml:space="preserve"> </w:t>
      </w:r>
      <w:r>
        <w:t>from</w:t>
      </w:r>
      <w:r>
        <w:rPr>
          <w:spacing w:val="-15"/>
        </w:rPr>
        <w:t xml:space="preserve"> </w:t>
      </w:r>
      <w:r>
        <w:t>highest</w:t>
      </w:r>
      <w:r>
        <w:rPr>
          <w:spacing w:val="-13"/>
        </w:rPr>
        <w:t xml:space="preserve"> </w:t>
      </w:r>
      <w:r>
        <w:t>to</w:t>
      </w:r>
      <w:r>
        <w:rPr>
          <w:spacing w:val="-13"/>
        </w:rPr>
        <w:t xml:space="preserve"> </w:t>
      </w:r>
      <w:r>
        <w:t>lowest and</w:t>
      </w:r>
      <w:r>
        <w:rPr>
          <w:spacing w:val="-8"/>
        </w:rPr>
        <w:t xml:space="preserve"> </w:t>
      </w:r>
      <w:r>
        <w:t>the</w:t>
      </w:r>
      <w:r>
        <w:rPr>
          <w:spacing w:val="-11"/>
        </w:rPr>
        <w:t xml:space="preserve"> </w:t>
      </w:r>
      <w:r>
        <w:t>median</w:t>
      </w:r>
      <w:r>
        <w:rPr>
          <w:spacing w:val="-6"/>
        </w:rPr>
        <w:t xml:space="preserve"> </w:t>
      </w:r>
      <w:r>
        <w:t>is</w:t>
      </w:r>
      <w:r>
        <w:rPr>
          <w:spacing w:val="-10"/>
        </w:rPr>
        <w:t xml:space="preserve"> </w:t>
      </w:r>
      <w:r>
        <w:t>the</w:t>
      </w:r>
      <w:r>
        <w:rPr>
          <w:spacing w:val="-8"/>
        </w:rPr>
        <w:t xml:space="preserve"> </w:t>
      </w:r>
      <w:r>
        <w:t>central</w:t>
      </w:r>
      <w:r>
        <w:rPr>
          <w:spacing w:val="-7"/>
        </w:rPr>
        <w:t xml:space="preserve"> </w:t>
      </w:r>
      <w:r>
        <w:t>figure.</w:t>
      </w:r>
      <w:r>
        <w:rPr>
          <w:spacing w:val="-5"/>
        </w:rPr>
        <w:t xml:space="preserve"> </w:t>
      </w:r>
      <w:r>
        <w:t>The</w:t>
      </w:r>
      <w:r>
        <w:rPr>
          <w:spacing w:val="-8"/>
        </w:rPr>
        <w:t xml:space="preserve"> </w:t>
      </w:r>
      <w:r>
        <w:t>quartile</w:t>
      </w:r>
      <w:r>
        <w:rPr>
          <w:spacing w:val="-6"/>
        </w:rPr>
        <w:t xml:space="preserve"> </w:t>
      </w:r>
      <w:r>
        <w:t>information</w:t>
      </w:r>
      <w:r>
        <w:rPr>
          <w:spacing w:val="-6"/>
        </w:rPr>
        <w:t xml:space="preserve"> </w:t>
      </w:r>
      <w:r>
        <w:t>is</w:t>
      </w:r>
      <w:r>
        <w:rPr>
          <w:spacing w:val="-7"/>
        </w:rPr>
        <w:t xml:space="preserve"> </w:t>
      </w:r>
      <w:r>
        <w:t>calculated</w:t>
      </w:r>
      <w:r>
        <w:rPr>
          <w:spacing w:val="-8"/>
        </w:rPr>
        <w:t xml:space="preserve"> </w:t>
      </w:r>
      <w:r>
        <w:t>by</w:t>
      </w:r>
      <w:r>
        <w:rPr>
          <w:spacing w:val="-7"/>
        </w:rPr>
        <w:t xml:space="preserve"> </w:t>
      </w:r>
      <w:r>
        <w:t>listing</w:t>
      </w:r>
      <w:r>
        <w:rPr>
          <w:spacing w:val="-8"/>
        </w:rPr>
        <w:t xml:space="preserve"> </w:t>
      </w:r>
      <w:r>
        <w:t>all salaries</w:t>
      </w:r>
      <w:r>
        <w:rPr>
          <w:spacing w:val="-17"/>
        </w:rPr>
        <w:t xml:space="preserve"> </w:t>
      </w:r>
      <w:r>
        <w:t>from</w:t>
      </w:r>
      <w:r>
        <w:rPr>
          <w:spacing w:val="-17"/>
        </w:rPr>
        <w:t xml:space="preserve"> </w:t>
      </w:r>
      <w:r>
        <w:t>highest</w:t>
      </w:r>
      <w:r>
        <w:rPr>
          <w:spacing w:val="-16"/>
        </w:rPr>
        <w:t xml:space="preserve"> </w:t>
      </w:r>
      <w:r>
        <w:t>to</w:t>
      </w:r>
      <w:r>
        <w:rPr>
          <w:spacing w:val="-17"/>
        </w:rPr>
        <w:t xml:space="preserve"> </w:t>
      </w:r>
      <w:r>
        <w:t>lowest</w:t>
      </w:r>
      <w:r>
        <w:rPr>
          <w:spacing w:val="-17"/>
        </w:rPr>
        <w:t xml:space="preserve"> </w:t>
      </w:r>
      <w:r>
        <w:t>and</w:t>
      </w:r>
      <w:r>
        <w:rPr>
          <w:spacing w:val="-17"/>
        </w:rPr>
        <w:t xml:space="preserve"> </w:t>
      </w:r>
      <w:r>
        <w:t>the</w:t>
      </w:r>
      <w:r>
        <w:rPr>
          <w:spacing w:val="-16"/>
        </w:rPr>
        <w:t xml:space="preserve"> </w:t>
      </w:r>
      <w:r>
        <w:t>splitting</w:t>
      </w:r>
      <w:r>
        <w:rPr>
          <w:spacing w:val="-17"/>
        </w:rPr>
        <w:t xml:space="preserve"> </w:t>
      </w:r>
      <w:r>
        <w:t>that</w:t>
      </w:r>
      <w:r>
        <w:rPr>
          <w:spacing w:val="-17"/>
        </w:rPr>
        <w:t xml:space="preserve"> </w:t>
      </w:r>
      <w:r>
        <w:t>information</w:t>
      </w:r>
      <w:r>
        <w:rPr>
          <w:spacing w:val="-16"/>
        </w:rPr>
        <w:t xml:space="preserve"> </w:t>
      </w:r>
      <w:r>
        <w:t>into</w:t>
      </w:r>
      <w:r>
        <w:rPr>
          <w:spacing w:val="-17"/>
        </w:rPr>
        <w:t xml:space="preserve"> </w:t>
      </w:r>
      <w:r>
        <w:t>four</w:t>
      </w:r>
      <w:r>
        <w:rPr>
          <w:spacing w:val="-17"/>
        </w:rPr>
        <w:t xml:space="preserve"> </w:t>
      </w:r>
      <w:r>
        <w:t>equal</w:t>
      </w:r>
      <w:r>
        <w:rPr>
          <w:spacing w:val="-16"/>
        </w:rPr>
        <w:t xml:space="preserve"> </w:t>
      </w:r>
      <w:r>
        <w:t>quarters to determine the percentage of male / female employees in each quartile.</w:t>
      </w:r>
    </w:p>
    <w:p w14:paraId="5FE839FE" w14:textId="77777777" w:rsidR="000A67EF" w:rsidRDefault="00000000">
      <w:pPr>
        <w:pStyle w:val="BodyText"/>
        <w:spacing w:before="271"/>
        <w:ind w:left="120" w:right="159"/>
        <w:jc w:val="both"/>
      </w:pPr>
      <w:r>
        <w:t>All the figures set out above have been calculated using the standard methodologies used in the Equality Act 2010 (Gender Pay Gap Information) Regulations 2017. Although</w:t>
      </w:r>
      <w:r>
        <w:rPr>
          <w:spacing w:val="-1"/>
        </w:rPr>
        <w:t xml:space="preserve"> </w:t>
      </w:r>
      <w:r>
        <w:t>reporting</w:t>
      </w:r>
      <w:r>
        <w:rPr>
          <w:spacing w:val="-1"/>
        </w:rPr>
        <w:t xml:space="preserve"> </w:t>
      </w:r>
      <w:r>
        <w:t>of</w:t>
      </w:r>
      <w:r>
        <w:rPr>
          <w:spacing w:val="-2"/>
        </w:rPr>
        <w:t xml:space="preserve"> </w:t>
      </w:r>
      <w:r>
        <w:t>the salary</w:t>
      </w:r>
      <w:r>
        <w:rPr>
          <w:spacing w:val="-1"/>
        </w:rPr>
        <w:t xml:space="preserve"> </w:t>
      </w:r>
      <w:r>
        <w:t>ranges</w:t>
      </w:r>
      <w:r>
        <w:rPr>
          <w:spacing w:val="-2"/>
        </w:rPr>
        <w:t xml:space="preserve"> </w:t>
      </w:r>
      <w:r>
        <w:t>for</w:t>
      </w:r>
      <w:r>
        <w:rPr>
          <w:spacing w:val="-1"/>
        </w:rPr>
        <w:t xml:space="preserve"> </w:t>
      </w:r>
      <w:r>
        <w:t>the quartiles</w:t>
      </w:r>
      <w:r>
        <w:rPr>
          <w:spacing w:val="-2"/>
        </w:rPr>
        <w:t xml:space="preserve"> </w:t>
      </w:r>
      <w:r>
        <w:t>is not</w:t>
      </w:r>
      <w:r>
        <w:rPr>
          <w:spacing w:val="-2"/>
        </w:rPr>
        <w:t xml:space="preserve"> </w:t>
      </w:r>
      <w:r>
        <w:t>required,</w:t>
      </w:r>
      <w:r>
        <w:rPr>
          <w:spacing w:val="-2"/>
        </w:rPr>
        <w:t xml:space="preserve"> </w:t>
      </w:r>
      <w:r>
        <w:t>this</w:t>
      </w:r>
      <w:r>
        <w:rPr>
          <w:spacing w:val="-3"/>
        </w:rPr>
        <w:t xml:space="preserve"> </w:t>
      </w:r>
      <w:r>
        <w:t>has</w:t>
      </w:r>
      <w:r>
        <w:rPr>
          <w:spacing w:val="-2"/>
        </w:rPr>
        <w:t xml:space="preserve"> </w:t>
      </w:r>
      <w:r>
        <w:t>been provided for additional information.</w:t>
      </w:r>
    </w:p>
    <w:p w14:paraId="6B05A734" w14:textId="77777777" w:rsidR="000A67EF" w:rsidRDefault="00000000">
      <w:pPr>
        <w:pStyle w:val="Heading1"/>
        <w:numPr>
          <w:ilvl w:val="0"/>
          <w:numId w:val="1"/>
        </w:numPr>
        <w:tabs>
          <w:tab w:val="left" w:pos="828"/>
        </w:tabs>
        <w:spacing w:before="276"/>
        <w:ind w:left="828" w:hanging="708"/>
      </w:pPr>
      <w:r>
        <w:t>Analysis</w:t>
      </w:r>
      <w:r>
        <w:rPr>
          <w:spacing w:val="-4"/>
        </w:rPr>
        <w:t xml:space="preserve"> </w:t>
      </w:r>
      <w:r>
        <w:t>of</w:t>
      </w:r>
      <w:r>
        <w:rPr>
          <w:spacing w:val="-3"/>
        </w:rPr>
        <w:t xml:space="preserve"> </w:t>
      </w:r>
      <w:r>
        <w:rPr>
          <w:spacing w:val="-4"/>
        </w:rPr>
        <w:t>data</w:t>
      </w:r>
    </w:p>
    <w:p w14:paraId="52EC5F3D" w14:textId="77777777" w:rsidR="000A67EF" w:rsidRDefault="00000000">
      <w:pPr>
        <w:pStyle w:val="BodyText"/>
        <w:spacing w:before="276"/>
        <w:ind w:left="120" w:right="152"/>
        <w:jc w:val="both"/>
      </w:pPr>
      <w:r>
        <w:t xml:space="preserve">In comparison with other similar </w:t>
      </w:r>
      <w:proofErr w:type="spellStart"/>
      <w:r>
        <w:t>organisations</w:t>
      </w:r>
      <w:proofErr w:type="spellEnd"/>
      <w:r>
        <w:t xml:space="preserve">, the gender </w:t>
      </w:r>
      <w:proofErr w:type="gramStart"/>
      <w:r>
        <w:t>pay</w:t>
      </w:r>
      <w:proofErr w:type="gramEnd"/>
      <w:r>
        <w:t xml:space="preserve"> gaps identified do not appear</w:t>
      </w:r>
      <w:r>
        <w:rPr>
          <w:spacing w:val="-13"/>
        </w:rPr>
        <w:t xml:space="preserve"> </w:t>
      </w:r>
      <w:r>
        <w:t>to</w:t>
      </w:r>
      <w:r>
        <w:rPr>
          <w:spacing w:val="-14"/>
        </w:rPr>
        <w:t xml:space="preserve"> </w:t>
      </w:r>
      <w:r>
        <w:t>be</w:t>
      </w:r>
      <w:r>
        <w:rPr>
          <w:spacing w:val="-12"/>
        </w:rPr>
        <w:t xml:space="preserve"> </w:t>
      </w:r>
      <w:r>
        <w:t>large</w:t>
      </w:r>
      <w:r>
        <w:rPr>
          <w:spacing w:val="-14"/>
        </w:rPr>
        <w:t xml:space="preserve"> </w:t>
      </w:r>
      <w:r>
        <w:t>and</w:t>
      </w:r>
      <w:r>
        <w:rPr>
          <w:spacing w:val="-14"/>
        </w:rPr>
        <w:t xml:space="preserve"> </w:t>
      </w:r>
      <w:r>
        <w:t>are</w:t>
      </w:r>
      <w:r>
        <w:rPr>
          <w:spacing w:val="-12"/>
        </w:rPr>
        <w:t xml:space="preserve"> </w:t>
      </w:r>
      <w:r>
        <w:t>therefore</w:t>
      </w:r>
      <w:r>
        <w:rPr>
          <w:spacing w:val="-15"/>
        </w:rPr>
        <w:t xml:space="preserve"> </w:t>
      </w:r>
      <w:r>
        <w:t>not</w:t>
      </w:r>
      <w:r>
        <w:rPr>
          <w:spacing w:val="-14"/>
        </w:rPr>
        <w:t xml:space="preserve"> </w:t>
      </w:r>
      <w:r>
        <w:t>significantly</w:t>
      </w:r>
      <w:r>
        <w:rPr>
          <w:spacing w:val="-6"/>
        </w:rPr>
        <w:t xml:space="preserve"> </w:t>
      </w:r>
      <w:r>
        <w:t>concerning.</w:t>
      </w:r>
      <w:r>
        <w:rPr>
          <w:spacing w:val="-12"/>
        </w:rPr>
        <w:t xml:space="preserve"> </w:t>
      </w:r>
      <w:r>
        <w:t>Although</w:t>
      </w:r>
      <w:r>
        <w:rPr>
          <w:spacing w:val="-12"/>
        </w:rPr>
        <w:t xml:space="preserve"> </w:t>
      </w:r>
      <w:r>
        <w:t>the</w:t>
      </w:r>
      <w:r>
        <w:rPr>
          <w:spacing w:val="-9"/>
        </w:rPr>
        <w:t xml:space="preserve"> </w:t>
      </w:r>
      <w:r>
        <w:t xml:space="preserve">median gender pay gap has increased, there is a mean pay gap which suggests that ranges of pay are spread </w:t>
      </w:r>
      <w:proofErr w:type="gramStart"/>
      <w:r>
        <w:t>fairly equally</w:t>
      </w:r>
      <w:proofErr w:type="gramEnd"/>
      <w:r>
        <w:t xml:space="preserve"> across the </w:t>
      </w:r>
      <w:proofErr w:type="spellStart"/>
      <w:r>
        <w:t>organisation</w:t>
      </w:r>
      <w:proofErr w:type="spellEnd"/>
      <w:r>
        <w:t xml:space="preserve"> but that the average pay for women is higher. In comparison to last year, this figure has changed slightly from 0.45% to -0.46% suggesting that measures implemented to reduce this have had an effect.</w:t>
      </w:r>
      <w:r>
        <w:rPr>
          <w:spacing w:val="-11"/>
        </w:rPr>
        <w:t xml:space="preserve"> </w:t>
      </w:r>
      <w:r>
        <w:t>The</w:t>
      </w:r>
      <w:r>
        <w:rPr>
          <w:spacing w:val="-12"/>
        </w:rPr>
        <w:t xml:space="preserve"> </w:t>
      </w:r>
      <w:r>
        <w:t>mean</w:t>
      </w:r>
      <w:r>
        <w:rPr>
          <w:spacing w:val="-11"/>
        </w:rPr>
        <w:t xml:space="preserve"> </w:t>
      </w:r>
      <w:r>
        <w:t>gender</w:t>
      </w:r>
      <w:r>
        <w:rPr>
          <w:spacing w:val="-12"/>
        </w:rPr>
        <w:t xml:space="preserve"> </w:t>
      </w:r>
      <w:r>
        <w:t>pay</w:t>
      </w:r>
      <w:r>
        <w:rPr>
          <w:spacing w:val="-14"/>
        </w:rPr>
        <w:t xml:space="preserve"> </w:t>
      </w:r>
      <w:r>
        <w:t>gap</w:t>
      </w:r>
      <w:r>
        <w:rPr>
          <w:spacing w:val="-13"/>
        </w:rPr>
        <w:t xml:space="preserve"> </w:t>
      </w:r>
      <w:r>
        <w:t>is</w:t>
      </w:r>
      <w:r>
        <w:rPr>
          <w:spacing w:val="-12"/>
        </w:rPr>
        <w:t xml:space="preserve"> </w:t>
      </w:r>
      <w:r>
        <w:t>likely</w:t>
      </w:r>
      <w:r>
        <w:rPr>
          <w:spacing w:val="-12"/>
        </w:rPr>
        <w:t xml:space="preserve"> </w:t>
      </w:r>
      <w:r>
        <w:t>to</w:t>
      </w:r>
      <w:r>
        <w:rPr>
          <w:spacing w:val="-13"/>
        </w:rPr>
        <w:t xml:space="preserve"> </w:t>
      </w:r>
      <w:r>
        <w:t>be</w:t>
      </w:r>
      <w:r>
        <w:rPr>
          <w:spacing w:val="-11"/>
        </w:rPr>
        <w:t xml:space="preserve"> </w:t>
      </w:r>
      <w:r>
        <w:t>due</w:t>
      </w:r>
      <w:r>
        <w:rPr>
          <w:spacing w:val="-11"/>
        </w:rPr>
        <w:t xml:space="preserve"> </w:t>
      </w:r>
      <w:r>
        <w:t>to</w:t>
      </w:r>
      <w:r>
        <w:rPr>
          <w:spacing w:val="-6"/>
        </w:rPr>
        <w:t xml:space="preserve"> </w:t>
      </w:r>
      <w:r>
        <w:t>the</w:t>
      </w:r>
      <w:r>
        <w:rPr>
          <w:spacing w:val="-11"/>
        </w:rPr>
        <w:t xml:space="preserve"> </w:t>
      </w:r>
      <w:r>
        <w:t>change</w:t>
      </w:r>
      <w:r>
        <w:rPr>
          <w:spacing w:val="-11"/>
        </w:rPr>
        <w:t xml:space="preserve"> </w:t>
      </w:r>
      <w:r>
        <w:t>in</w:t>
      </w:r>
      <w:r>
        <w:rPr>
          <w:spacing w:val="-14"/>
        </w:rPr>
        <w:t xml:space="preserve"> </w:t>
      </w:r>
      <w:r>
        <w:t>the</w:t>
      </w:r>
      <w:r>
        <w:rPr>
          <w:spacing w:val="-11"/>
        </w:rPr>
        <w:t xml:space="preserve"> </w:t>
      </w:r>
      <w:proofErr w:type="spellStart"/>
      <w:r>
        <w:t>organisational</w:t>
      </w:r>
      <w:proofErr w:type="spellEnd"/>
      <w:r>
        <w:t xml:space="preserve"> profile as</w:t>
      </w:r>
      <w:r>
        <w:rPr>
          <w:spacing w:val="-2"/>
        </w:rPr>
        <w:t xml:space="preserve"> </w:t>
      </w:r>
      <w:r>
        <w:t>there is a reduction in number</w:t>
      </w:r>
      <w:r>
        <w:rPr>
          <w:spacing w:val="-1"/>
        </w:rPr>
        <w:t xml:space="preserve"> </w:t>
      </w:r>
      <w:r>
        <w:t>of employees</w:t>
      </w:r>
      <w:r>
        <w:rPr>
          <w:spacing w:val="-2"/>
        </w:rPr>
        <w:t xml:space="preserve"> </w:t>
      </w:r>
      <w:r>
        <w:t>with a</w:t>
      </w:r>
      <w:r>
        <w:rPr>
          <w:spacing w:val="-1"/>
        </w:rPr>
        <w:t xml:space="preserve"> </w:t>
      </w:r>
      <w:r>
        <w:t>higher</w:t>
      </w:r>
      <w:r>
        <w:rPr>
          <w:spacing w:val="-1"/>
        </w:rPr>
        <w:t xml:space="preserve"> </w:t>
      </w:r>
      <w:r>
        <w:t>reduction</w:t>
      </w:r>
      <w:r>
        <w:rPr>
          <w:spacing w:val="-2"/>
        </w:rPr>
        <w:t xml:space="preserve"> </w:t>
      </w:r>
      <w:r>
        <w:t>of</w:t>
      </w:r>
      <w:r>
        <w:rPr>
          <w:spacing w:val="-2"/>
        </w:rPr>
        <w:t xml:space="preserve"> </w:t>
      </w:r>
      <w:r>
        <w:t>men to</w:t>
      </w:r>
      <w:r>
        <w:rPr>
          <w:spacing w:val="-1"/>
        </w:rPr>
        <w:t xml:space="preserve"> </w:t>
      </w:r>
      <w:r>
        <w:t>women</w:t>
      </w:r>
      <w:r>
        <w:rPr>
          <w:spacing w:val="-3"/>
        </w:rPr>
        <w:t xml:space="preserve"> </w:t>
      </w:r>
      <w:r>
        <w:t>and</w:t>
      </w:r>
      <w:r>
        <w:rPr>
          <w:spacing w:val="-2"/>
        </w:rPr>
        <w:t xml:space="preserve"> </w:t>
      </w:r>
      <w:r>
        <w:t>in</w:t>
      </w:r>
      <w:r>
        <w:rPr>
          <w:spacing w:val="-2"/>
        </w:rPr>
        <w:t xml:space="preserve"> </w:t>
      </w:r>
      <w:r>
        <w:t>addition</w:t>
      </w:r>
      <w:r>
        <w:rPr>
          <w:spacing w:val="-2"/>
        </w:rPr>
        <w:t xml:space="preserve"> </w:t>
      </w:r>
      <w:r>
        <w:t>there</w:t>
      </w:r>
      <w:r>
        <w:rPr>
          <w:spacing w:val="-2"/>
        </w:rPr>
        <w:t xml:space="preserve"> </w:t>
      </w:r>
      <w:r>
        <w:t>has</w:t>
      </w:r>
      <w:r>
        <w:rPr>
          <w:spacing w:val="-2"/>
        </w:rPr>
        <w:t xml:space="preserve"> </w:t>
      </w:r>
      <w:r>
        <w:t>been</w:t>
      </w:r>
      <w:r>
        <w:rPr>
          <w:spacing w:val="-4"/>
        </w:rPr>
        <w:t xml:space="preserve"> </w:t>
      </w:r>
      <w:r>
        <w:t>an</w:t>
      </w:r>
      <w:r>
        <w:rPr>
          <w:spacing w:val="-2"/>
        </w:rPr>
        <w:t xml:space="preserve"> </w:t>
      </w:r>
      <w:r>
        <w:t>increase</w:t>
      </w:r>
      <w:r>
        <w:rPr>
          <w:spacing w:val="-2"/>
        </w:rPr>
        <w:t xml:space="preserve"> </w:t>
      </w:r>
      <w:r>
        <w:t>in</w:t>
      </w:r>
      <w:r>
        <w:rPr>
          <w:spacing w:val="-4"/>
        </w:rPr>
        <w:t xml:space="preserve"> </w:t>
      </w:r>
      <w:r>
        <w:t>the percentage</w:t>
      </w:r>
      <w:r>
        <w:rPr>
          <w:spacing w:val="-2"/>
        </w:rPr>
        <w:t xml:space="preserve"> </w:t>
      </w:r>
      <w:r>
        <w:t>of</w:t>
      </w:r>
      <w:r>
        <w:rPr>
          <w:spacing w:val="-4"/>
        </w:rPr>
        <w:t xml:space="preserve"> </w:t>
      </w:r>
      <w:r>
        <w:t>men</w:t>
      </w:r>
      <w:r>
        <w:rPr>
          <w:spacing w:val="-2"/>
        </w:rPr>
        <w:t xml:space="preserve"> </w:t>
      </w:r>
      <w:r>
        <w:t>in</w:t>
      </w:r>
      <w:r>
        <w:rPr>
          <w:spacing w:val="-4"/>
        </w:rPr>
        <w:t xml:space="preserve"> </w:t>
      </w:r>
      <w:r>
        <w:t>the lower middle quartile.</w:t>
      </w:r>
    </w:p>
    <w:p w14:paraId="510E8FFC" w14:textId="77777777" w:rsidR="000A67EF" w:rsidRDefault="000A67EF">
      <w:pPr>
        <w:pStyle w:val="BodyText"/>
      </w:pPr>
    </w:p>
    <w:p w14:paraId="36B694CF" w14:textId="77777777" w:rsidR="000A67EF" w:rsidRDefault="00000000">
      <w:pPr>
        <w:pStyle w:val="BodyText"/>
        <w:ind w:left="120" w:right="156"/>
        <w:jc w:val="both"/>
      </w:pPr>
      <w:r>
        <w:t>The quartile data also outlines that there is an increase in the percentage of females in both the lower quartile and the upper middle quartile, increasing by 1.44% and 3.14% respectively.</w:t>
      </w:r>
    </w:p>
    <w:p w14:paraId="15779002" w14:textId="77777777" w:rsidR="000A67EF" w:rsidRDefault="000A67EF">
      <w:pPr>
        <w:jc w:val="both"/>
        <w:sectPr w:rsidR="000A67EF" w:rsidSect="00DB6AB8">
          <w:headerReference w:type="default" r:id="rId8"/>
          <w:footerReference w:type="default" r:id="rId9"/>
          <w:type w:val="continuous"/>
          <w:pgSz w:w="11910" w:h="16840"/>
          <w:pgMar w:top="1134" w:right="1134" w:bottom="1134" w:left="1134" w:header="1134" w:footer="964" w:gutter="0"/>
          <w:pgNumType w:start="1"/>
          <w:cols w:space="720"/>
          <w:docGrid w:linePitch="299"/>
        </w:sectPr>
      </w:pPr>
    </w:p>
    <w:p w14:paraId="26DC6928" w14:textId="77777777" w:rsidR="000A67EF" w:rsidRDefault="000A67EF">
      <w:pPr>
        <w:pStyle w:val="BodyText"/>
      </w:pPr>
    </w:p>
    <w:p w14:paraId="70BAE17F" w14:textId="77777777" w:rsidR="000A67EF" w:rsidRDefault="000A67EF">
      <w:pPr>
        <w:pStyle w:val="BodyText"/>
        <w:spacing w:before="89"/>
      </w:pPr>
    </w:p>
    <w:p w14:paraId="4C69A74B" w14:textId="77777777" w:rsidR="000A67EF" w:rsidRDefault="00000000">
      <w:pPr>
        <w:pStyle w:val="BodyText"/>
        <w:ind w:left="120" w:right="157"/>
        <w:jc w:val="both"/>
      </w:pPr>
      <w:r>
        <w:t>Further</w:t>
      </w:r>
      <w:r>
        <w:rPr>
          <w:spacing w:val="-1"/>
        </w:rPr>
        <w:t xml:space="preserve"> </w:t>
      </w:r>
      <w:r>
        <w:t>analysis of the</w:t>
      </w:r>
      <w:r>
        <w:rPr>
          <w:spacing w:val="-2"/>
        </w:rPr>
        <w:t xml:space="preserve"> </w:t>
      </w:r>
      <w:r>
        <w:t>data indicates that the</w:t>
      </w:r>
      <w:r>
        <w:rPr>
          <w:spacing w:val="-2"/>
        </w:rPr>
        <w:t xml:space="preserve"> </w:t>
      </w:r>
      <w:r>
        <w:t xml:space="preserve">lower middle quartile which has seen </w:t>
      </w:r>
      <w:proofErr w:type="gramStart"/>
      <w:r>
        <w:t>a the</w:t>
      </w:r>
      <w:proofErr w:type="gramEnd"/>
      <w:r>
        <w:t xml:space="preserve"> greatest increase for males with 70.3%</w:t>
      </w:r>
      <w:r>
        <w:rPr>
          <w:spacing w:val="-1"/>
        </w:rPr>
        <w:t xml:space="preserve"> </w:t>
      </w:r>
      <w:r>
        <w:t>in this</w:t>
      </w:r>
      <w:r>
        <w:rPr>
          <w:spacing w:val="-1"/>
        </w:rPr>
        <w:t xml:space="preserve"> </w:t>
      </w:r>
      <w:r>
        <w:t>quartile being male, one of the key reasons for this is that it contains a high proportion of trade posts such as joiners, painters</w:t>
      </w:r>
      <w:r>
        <w:rPr>
          <w:spacing w:val="-11"/>
        </w:rPr>
        <w:t xml:space="preserve"> </w:t>
      </w:r>
      <w:proofErr w:type="spellStart"/>
      <w:r>
        <w:t>etc</w:t>
      </w:r>
      <w:proofErr w:type="spellEnd"/>
      <w:r>
        <w:rPr>
          <w:spacing w:val="-12"/>
        </w:rPr>
        <w:t xml:space="preserve"> </w:t>
      </w:r>
      <w:r>
        <w:t>as</w:t>
      </w:r>
      <w:r>
        <w:rPr>
          <w:spacing w:val="-10"/>
        </w:rPr>
        <w:t xml:space="preserve"> </w:t>
      </w:r>
      <w:r>
        <w:t>well</w:t>
      </w:r>
      <w:r>
        <w:rPr>
          <w:spacing w:val="-13"/>
        </w:rPr>
        <w:t xml:space="preserve"> </w:t>
      </w:r>
      <w:r>
        <w:t>as</w:t>
      </w:r>
      <w:r>
        <w:rPr>
          <w:spacing w:val="-13"/>
        </w:rPr>
        <w:t xml:space="preserve"> </w:t>
      </w:r>
      <w:r>
        <w:t>Refuse</w:t>
      </w:r>
      <w:r>
        <w:rPr>
          <w:spacing w:val="-9"/>
        </w:rPr>
        <w:t xml:space="preserve"> </w:t>
      </w:r>
      <w:r>
        <w:t>Drivers.</w:t>
      </w:r>
      <w:r>
        <w:rPr>
          <w:spacing w:val="-10"/>
        </w:rPr>
        <w:t xml:space="preserve"> </w:t>
      </w:r>
      <w:r>
        <w:t>This</w:t>
      </w:r>
      <w:r>
        <w:rPr>
          <w:spacing w:val="-11"/>
        </w:rPr>
        <w:t xml:space="preserve"> </w:t>
      </w:r>
      <w:r>
        <w:t>would</w:t>
      </w:r>
      <w:r>
        <w:rPr>
          <w:spacing w:val="-10"/>
        </w:rPr>
        <w:t xml:space="preserve"> </w:t>
      </w:r>
      <w:r>
        <w:t>suggest</w:t>
      </w:r>
      <w:r>
        <w:rPr>
          <w:spacing w:val="-12"/>
        </w:rPr>
        <w:t xml:space="preserve"> </w:t>
      </w:r>
      <w:r>
        <w:t>that</w:t>
      </w:r>
      <w:r>
        <w:rPr>
          <w:spacing w:val="-10"/>
        </w:rPr>
        <w:t xml:space="preserve"> </w:t>
      </w:r>
      <w:r>
        <w:t>the</w:t>
      </w:r>
      <w:r>
        <w:rPr>
          <w:spacing w:val="-12"/>
        </w:rPr>
        <w:t xml:space="preserve"> </w:t>
      </w:r>
      <w:r>
        <w:t>disparity</w:t>
      </w:r>
      <w:r>
        <w:rPr>
          <w:spacing w:val="-10"/>
        </w:rPr>
        <w:t xml:space="preserve"> </w:t>
      </w:r>
      <w:r>
        <w:t>continues to be due to employment of</w:t>
      </w:r>
      <w:r>
        <w:rPr>
          <w:spacing w:val="-3"/>
        </w:rPr>
        <w:t xml:space="preserve"> </w:t>
      </w:r>
      <w:r>
        <w:t>men</w:t>
      </w:r>
      <w:r>
        <w:rPr>
          <w:spacing w:val="-3"/>
        </w:rPr>
        <w:t xml:space="preserve"> </w:t>
      </w:r>
      <w:r>
        <w:t>and</w:t>
      </w:r>
      <w:r>
        <w:rPr>
          <w:spacing w:val="-2"/>
        </w:rPr>
        <w:t xml:space="preserve"> </w:t>
      </w:r>
      <w:r>
        <w:t>women in posts that traditionally</w:t>
      </w:r>
      <w:r>
        <w:rPr>
          <w:spacing w:val="-1"/>
        </w:rPr>
        <w:t xml:space="preserve"> </w:t>
      </w:r>
      <w:r>
        <w:t xml:space="preserve">attract specific genders. The Council </w:t>
      </w:r>
      <w:proofErr w:type="spellStart"/>
      <w:r>
        <w:t>recognises</w:t>
      </w:r>
      <w:proofErr w:type="spellEnd"/>
      <w:r>
        <w:t xml:space="preserve"> that although actions are in place to try to address this, it will take time to change these social and historical norms.</w:t>
      </w:r>
    </w:p>
    <w:p w14:paraId="0C43C04A" w14:textId="77777777" w:rsidR="000A67EF" w:rsidRDefault="000A67EF">
      <w:pPr>
        <w:pStyle w:val="BodyText"/>
      </w:pPr>
    </w:p>
    <w:p w14:paraId="1E349AC5" w14:textId="77777777" w:rsidR="000A67EF" w:rsidRDefault="00000000">
      <w:pPr>
        <w:pStyle w:val="BodyText"/>
        <w:ind w:left="120" w:right="153"/>
        <w:jc w:val="both"/>
      </w:pPr>
      <w:r>
        <w:t>The Council remains committed to the principle of equal opportunities and equal treatment for all employees and has a clear procedure to ensure</w:t>
      </w:r>
      <w:r>
        <w:rPr>
          <w:spacing w:val="-1"/>
        </w:rPr>
        <w:t xml:space="preserve"> </w:t>
      </w:r>
      <w:r>
        <w:t>employees are</w:t>
      </w:r>
      <w:r>
        <w:rPr>
          <w:spacing w:val="-1"/>
        </w:rPr>
        <w:t xml:space="preserve"> </w:t>
      </w:r>
      <w:r>
        <w:t>paid equally</w:t>
      </w:r>
      <w:r>
        <w:rPr>
          <w:spacing w:val="-7"/>
        </w:rPr>
        <w:t xml:space="preserve"> </w:t>
      </w:r>
      <w:r>
        <w:t>for</w:t>
      </w:r>
      <w:r>
        <w:rPr>
          <w:spacing w:val="-7"/>
        </w:rPr>
        <w:t xml:space="preserve"> </w:t>
      </w:r>
      <w:r>
        <w:t>the</w:t>
      </w:r>
      <w:r>
        <w:rPr>
          <w:spacing w:val="-6"/>
        </w:rPr>
        <w:t xml:space="preserve"> </w:t>
      </w:r>
      <w:r>
        <w:t>same</w:t>
      </w:r>
      <w:r>
        <w:rPr>
          <w:spacing w:val="-6"/>
        </w:rPr>
        <w:t xml:space="preserve"> </w:t>
      </w:r>
      <w:r>
        <w:t>or</w:t>
      </w:r>
      <w:r>
        <w:rPr>
          <w:spacing w:val="-10"/>
        </w:rPr>
        <w:t xml:space="preserve"> </w:t>
      </w:r>
      <w:r>
        <w:t>equivalent</w:t>
      </w:r>
      <w:r>
        <w:rPr>
          <w:spacing w:val="-6"/>
        </w:rPr>
        <w:t xml:space="preserve"> </w:t>
      </w:r>
      <w:r>
        <w:t>work,</w:t>
      </w:r>
      <w:r>
        <w:rPr>
          <w:spacing w:val="-7"/>
        </w:rPr>
        <w:t xml:space="preserve"> </w:t>
      </w:r>
      <w:r>
        <w:t>regardless</w:t>
      </w:r>
      <w:r>
        <w:rPr>
          <w:spacing w:val="-6"/>
        </w:rPr>
        <w:t xml:space="preserve"> </w:t>
      </w:r>
      <w:r>
        <w:t>of</w:t>
      </w:r>
      <w:r>
        <w:rPr>
          <w:spacing w:val="-6"/>
        </w:rPr>
        <w:t xml:space="preserve"> </w:t>
      </w:r>
      <w:r>
        <w:t>their</w:t>
      </w:r>
      <w:r>
        <w:rPr>
          <w:spacing w:val="-8"/>
        </w:rPr>
        <w:t xml:space="preserve"> </w:t>
      </w:r>
      <w:r>
        <w:t>sex</w:t>
      </w:r>
      <w:r>
        <w:rPr>
          <w:spacing w:val="-7"/>
        </w:rPr>
        <w:t xml:space="preserve"> </w:t>
      </w:r>
      <w:r>
        <w:t>or</w:t>
      </w:r>
      <w:r>
        <w:rPr>
          <w:spacing w:val="-7"/>
        </w:rPr>
        <w:t xml:space="preserve"> </w:t>
      </w:r>
      <w:r>
        <w:t>any</w:t>
      </w:r>
      <w:r>
        <w:rPr>
          <w:spacing w:val="-7"/>
        </w:rPr>
        <w:t xml:space="preserve"> </w:t>
      </w:r>
      <w:r>
        <w:t>other</w:t>
      </w:r>
      <w:r>
        <w:rPr>
          <w:spacing w:val="-7"/>
        </w:rPr>
        <w:t xml:space="preserve"> </w:t>
      </w:r>
      <w:r>
        <w:t xml:space="preserve">protected characteristic. In 2014 the Council implemented job evaluation and undertook a comprehensive review of pay and allowances to address </w:t>
      </w:r>
      <w:proofErr w:type="gramStart"/>
      <w:r>
        <w:t>a number of</w:t>
      </w:r>
      <w:proofErr w:type="gramEnd"/>
      <w:r>
        <w:t xml:space="preserve"> factors which significantly</w:t>
      </w:r>
      <w:r>
        <w:rPr>
          <w:spacing w:val="-9"/>
        </w:rPr>
        <w:t xml:space="preserve"> </w:t>
      </w:r>
      <w:r>
        <w:t>improved</w:t>
      </w:r>
      <w:r>
        <w:rPr>
          <w:spacing w:val="-11"/>
        </w:rPr>
        <w:t xml:space="preserve"> </w:t>
      </w:r>
      <w:r>
        <w:t>the</w:t>
      </w:r>
      <w:r>
        <w:rPr>
          <w:spacing w:val="-11"/>
        </w:rPr>
        <w:t xml:space="preserve"> </w:t>
      </w:r>
      <w:r>
        <w:t>gender</w:t>
      </w:r>
      <w:r>
        <w:rPr>
          <w:spacing w:val="-12"/>
        </w:rPr>
        <w:t xml:space="preserve"> </w:t>
      </w:r>
      <w:r>
        <w:t>pay</w:t>
      </w:r>
      <w:r>
        <w:rPr>
          <w:spacing w:val="-12"/>
        </w:rPr>
        <w:t xml:space="preserve"> </w:t>
      </w:r>
      <w:r>
        <w:t>gap</w:t>
      </w:r>
      <w:r>
        <w:rPr>
          <w:spacing w:val="-11"/>
        </w:rPr>
        <w:t xml:space="preserve"> </w:t>
      </w:r>
      <w:r>
        <w:t>position.</w:t>
      </w:r>
      <w:r>
        <w:rPr>
          <w:spacing w:val="-9"/>
        </w:rPr>
        <w:t xml:space="preserve"> </w:t>
      </w:r>
      <w:r>
        <w:t>As</w:t>
      </w:r>
      <w:r>
        <w:rPr>
          <w:spacing w:val="-12"/>
        </w:rPr>
        <w:t xml:space="preserve"> </w:t>
      </w:r>
      <w:r>
        <w:t>part</w:t>
      </w:r>
      <w:r>
        <w:rPr>
          <w:spacing w:val="-9"/>
        </w:rPr>
        <w:t xml:space="preserve"> </w:t>
      </w:r>
      <w:r>
        <w:t>of</w:t>
      </w:r>
      <w:r>
        <w:rPr>
          <w:spacing w:val="-11"/>
        </w:rPr>
        <w:t xml:space="preserve"> </w:t>
      </w:r>
      <w:r>
        <w:t>that</w:t>
      </w:r>
      <w:r>
        <w:rPr>
          <w:spacing w:val="-9"/>
        </w:rPr>
        <w:t xml:space="preserve"> </w:t>
      </w:r>
      <w:r>
        <w:t>scheme</w:t>
      </w:r>
      <w:r>
        <w:rPr>
          <w:spacing w:val="-8"/>
        </w:rPr>
        <w:t xml:space="preserve"> </w:t>
      </w:r>
      <w:r>
        <w:t>the</w:t>
      </w:r>
      <w:r>
        <w:rPr>
          <w:spacing w:val="-11"/>
        </w:rPr>
        <w:t xml:space="preserve"> </w:t>
      </w:r>
      <w:r>
        <w:t>Council also evaluates job roles as necessary to ensure a fair structure. In 2016 the Council brought</w:t>
      </w:r>
      <w:r>
        <w:rPr>
          <w:spacing w:val="-10"/>
        </w:rPr>
        <w:t xml:space="preserve"> </w:t>
      </w:r>
      <w:r>
        <w:t>the</w:t>
      </w:r>
      <w:r>
        <w:rPr>
          <w:spacing w:val="-9"/>
        </w:rPr>
        <w:t xml:space="preserve"> </w:t>
      </w:r>
      <w:r>
        <w:t>ALMO</w:t>
      </w:r>
      <w:r>
        <w:rPr>
          <w:spacing w:val="-10"/>
        </w:rPr>
        <w:t xml:space="preserve"> </w:t>
      </w:r>
      <w:r>
        <w:t>back</w:t>
      </w:r>
      <w:r>
        <w:rPr>
          <w:spacing w:val="-10"/>
        </w:rPr>
        <w:t xml:space="preserve"> </w:t>
      </w:r>
      <w:r>
        <w:t>into</w:t>
      </w:r>
      <w:r>
        <w:rPr>
          <w:spacing w:val="-9"/>
        </w:rPr>
        <w:t xml:space="preserve"> </w:t>
      </w:r>
      <w:r>
        <w:t>the</w:t>
      </w:r>
      <w:r>
        <w:rPr>
          <w:spacing w:val="-9"/>
        </w:rPr>
        <w:t xml:space="preserve"> </w:t>
      </w:r>
      <w:r>
        <w:t>Council</w:t>
      </w:r>
      <w:r>
        <w:rPr>
          <w:spacing w:val="-11"/>
        </w:rPr>
        <w:t xml:space="preserve"> </w:t>
      </w:r>
      <w:r>
        <w:t>which</w:t>
      </w:r>
      <w:r>
        <w:rPr>
          <w:spacing w:val="-9"/>
        </w:rPr>
        <w:t xml:space="preserve"> </w:t>
      </w:r>
      <w:r>
        <w:t>included</w:t>
      </w:r>
      <w:r>
        <w:rPr>
          <w:spacing w:val="-9"/>
        </w:rPr>
        <w:t xml:space="preserve"> </w:t>
      </w:r>
      <w:r>
        <w:t>the</w:t>
      </w:r>
      <w:r>
        <w:rPr>
          <w:spacing w:val="-12"/>
        </w:rPr>
        <w:t xml:space="preserve"> </w:t>
      </w:r>
      <w:r>
        <w:t>transfer</w:t>
      </w:r>
      <w:r>
        <w:rPr>
          <w:spacing w:val="-11"/>
        </w:rPr>
        <w:t xml:space="preserve"> </w:t>
      </w:r>
      <w:r>
        <w:t>of</w:t>
      </w:r>
      <w:r>
        <w:rPr>
          <w:spacing w:val="-10"/>
        </w:rPr>
        <w:t xml:space="preserve"> </w:t>
      </w:r>
      <w:proofErr w:type="gramStart"/>
      <w:r>
        <w:t>a</w:t>
      </w:r>
      <w:r>
        <w:rPr>
          <w:spacing w:val="-9"/>
        </w:rPr>
        <w:t xml:space="preserve"> </w:t>
      </w:r>
      <w:r>
        <w:t>large</w:t>
      </w:r>
      <w:r>
        <w:rPr>
          <w:spacing w:val="-9"/>
        </w:rPr>
        <w:t xml:space="preserve"> </w:t>
      </w:r>
      <w:r>
        <w:t>number of</w:t>
      </w:r>
      <w:proofErr w:type="gramEnd"/>
      <w:r>
        <w:t xml:space="preserve"> craftworkers. Service reviews are still ongoing, and as these progress all employees, including craftworkers, are likely to transfer onto Council terms and conditions. Although a number have transferred onto the Councils terms and conditions, the impact of this on the gender pay gap is yet to be fully determined.</w:t>
      </w:r>
    </w:p>
    <w:p w14:paraId="632240C5" w14:textId="77777777" w:rsidR="000A67EF" w:rsidRDefault="000A67EF">
      <w:pPr>
        <w:pStyle w:val="BodyText"/>
        <w:spacing w:before="1"/>
      </w:pPr>
    </w:p>
    <w:p w14:paraId="341BB12A" w14:textId="77777777" w:rsidR="000A67EF" w:rsidRDefault="00000000">
      <w:pPr>
        <w:pStyle w:val="Heading1"/>
        <w:numPr>
          <w:ilvl w:val="0"/>
          <w:numId w:val="1"/>
        </w:numPr>
        <w:tabs>
          <w:tab w:val="left" w:pos="840"/>
        </w:tabs>
        <w:ind w:left="840" w:hanging="720"/>
      </w:pPr>
      <w:r>
        <w:t>Action</w:t>
      </w:r>
      <w:r>
        <w:rPr>
          <w:spacing w:val="-3"/>
        </w:rPr>
        <w:t xml:space="preserve"> </w:t>
      </w:r>
      <w:r>
        <w:t>to</w:t>
      </w:r>
      <w:r>
        <w:rPr>
          <w:spacing w:val="-3"/>
        </w:rPr>
        <w:t xml:space="preserve"> </w:t>
      </w:r>
      <w:r>
        <w:t>be</w:t>
      </w:r>
      <w:r>
        <w:rPr>
          <w:spacing w:val="-2"/>
        </w:rPr>
        <w:t xml:space="preserve"> </w:t>
      </w:r>
      <w:r>
        <w:t>undertaken</w:t>
      </w:r>
      <w:r>
        <w:rPr>
          <w:spacing w:val="-3"/>
        </w:rPr>
        <w:t xml:space="preserve"> </w:t>
      </w:r>
      <w:r>
        <w:t>to</w:t>
      </w:r>
      <w:r>
        <w:rPr>
          <w:spacing w:val="-2"/>
        </w:rPr>
        <w:t xml:space="preserve"> </w:t>
      </w:r>
      <w:r>
        <w:t>address</w:t>
      </w:r>
      <w:r>
        <w:rPr>
          <w:spacing w:val="-3"/>
        </w:rPr>
        <w:t xml:space="preserve"> </w:t>
      </w:r>
      <w:r>
        <w:t>the</w:t>
      </w:r>
      <w:r>
        <w:rPr>
          <w:spacing w:val="-4"/>
        </w:rPr>
        <w:t xml:space="preserve"> </w:t>
      </w:r>
      <w:r>
        <w:t>gender</w:t>
      </w:r>
      <w:r>
        <w:rPr>
          <w:spacing w:val="-3"/>
        </w:rPr>
        <w:t xml:space="preserve"> </w:t>
      </w:r>
      <w:r>
        <w:t>pay</w:t>
      </w:r>
      <w:r>
        <w:rPr>
          <w:spacing w:val="-2"/>
        </w:rPr>
        <w:t xml:space="preserve"> </w:t>
      </w:r>
      <w:r>
        <w:rPr>
          <w:spacing w:val="-5"/>
        </w:rPr>
        <w:t>gap</w:t>
      </w:r>
    </w:p>
    <w:p w14:paraId="25686BCE" w14:textId="77777777" w:rsidR="000A67EF" w:rsidRDefault="000A67EF">
      <w:pPr>
        <w:pStyle w:val="BodyText"/>
        <w:rPr>
          <w:b/>
        </w:rPr>
      </w:pPr>
    </w:p>
    <w:p w14:paraId="31FC859E" w14:textId="77777777" w:rsidR="000A67EF" w:rsidRDefault="00000000">
      <w:pPr>
        <w:pStyle w:val="BodyText"/>
        <w:spacing w:before="1"/>
        <w:ind w:left="120" w:right="155"/>
        <w:jc w:val="both"/>
      </w:pPr>
      <w:r>
        <w:t xml:space="preserve">Although the gender pay gap is not significant enough to be a cause for concern the </w:t>
      </w:r>
      <w:proofErr w:type="spellStart"/>
      <w:r>
        <w:t>organisation</w:t>
      </w:r>
      <w:proofErr w:type="spellEnd"/>
      <w:r>
        <w:t xml:space="preserve"> will continue to implement actions as detailed below to address the </w:t>
      </w:r>
      <w:r>
        <w:rPr>
          <w:spacing w:val="-2"/>
        </w:rPr>
        <w:t>disparities.</w:t>
      </w:r>
    </w:p>
    <w:p w14:paraId="3F9ED8B0" w14:textId="77777777" w:rsidR="000A67EF" w:rsidRDefault="000A67EF">
      <w:pPr>
        <w:pStyle w:val="BodyText"/>
      </w:pPr>
    </w:p>
    <w:p w14:paraId="4BEBAD0E" w14:textId="77777777" w:rsidR="000A67EF" w:rsidRDefault="00000000">
      <w:pPr>
        <w:pStyle w:val="ListParagraph"/>
        <w:numPr>
          <w:ilvl w:val="1"/>
          <w:numId w:val="1"/>
        </w:numPr>
        <w:tabs>
          <w:tab w:val="left" w:pos="840"/>
        </w:tabs>
        <w:ind w:right="163" w:hanging="720"/>
        <w:jc w:val="both"/>
        <w:rPr>
          <w:sz w:val="24"/>
        </w:rPr>
      </w:pPr>
      <w:r>
        <w:rPr>
          <w:sz w:val="24"/>
        </w:rPr>
        <w:t xml:space="preserve">Continue to use </w:t>
      </w:r>
      <w:proofErr w:type="gramStart"/>
      <w:r>
        <w:rPr>
          <w:sz w:val="24"/>
        </w:rPr>
        <w:t>on line</w:t>
      </w:r>
      <w:proofErr w:type="gramEnd"/>
      <w:r>
        <w:rPr>
          <w:sz w:val="24"/>
        </w:rPr>
        <w:t xml:space="preserve"> adverts and jobs boards to advertise vacancies as widely as possible so that they are accessible to all possible candidates and therefore not advertise via routes that could attract traditional genders.</w:t>
      </w:r>
    </w:p>
    <w:p w14:paraId="2B5AD91D" w14:textId="77777777" w:rsidR="000A67EF" w:rsidRDefault="00000000">
      <w:pPr>
        <w:pStyle w:val="ListParagraph"/>
        <w:numPr>
          <w:ilvl w:val="1"/>
          <w:numId w:val="1"/>
        </w:numPr>
        <w:tabs>
          <w:tab w:val="left" w:pos="840"/>
        </w:tabs>
        <w:ind w:right="157" w:hanging="720"/>
        <w:jc w:val="both"/>
        <w:rPr>
          <w:sz w:val="24"/>
        </w:rPr>
      </w:pPr>
      <w:r>
        <w:rPr>
          <w:sz w:val="24"/>
        </w:rPr>
        <w:t>The Council is still involved in an initiative to promote flexible working, particularly</w:t>
      </w:r>
      <w:r>
        <w:rPr>
          <w:spacing w:val="-5"/>
          <w:sz w:val="24"/>
        </w:rPr>
        <w:t xml:space="preserve"> </w:t>
      </w:r>
      <w:r>
        <w:rPr>
          <w:sz w:val="24"/>
        </w:rPr>
        <w:t>in</w:t>
      </w:r>
      <w:r>
        <w:rPr>
          <w:spacing w:val="-6"/>
          <w:sz w:val="24"/>
        </w:rPr>
        <w:t xml:space="preserve"> </w:t>
      </w:r>
      <w:r>
        <w:rPr>
          <w:sz w:val="24"/>
        </w:rPr>
        <w:t>more</w:t>
      </w:r>
      <w:r>
        <w:rPr>
          <w:spacing w:val="-8"/>
          <w:sz w:val="24"/>
        </w:rPr>
        <w:t xml:space="preserve"> </w:t>
      </w:r>
      <w:r>
        <w:rPr>
          <w:sz w:val="24"/>
        </w:rPr>
        <w:t>senior</w:t>
      </w:r>
      <w:r>
        <w:rPr>
          <w:spacing w:val="-6"/>
          <w:sz w:val="24"/>
        </w:rPr>
        <w:t xml:space="preserve"> </w:t>
      </w:r>
      <w:r>
        <w:rPr>
          <w:sz w:val="24"/>
        </w:rPr>
        <w:t>posts</w:t>
      </w:r>
      <w:r>
        <w:rPr>
          <w:spacing w:val="-5"/>
          <w:sz w:val="24"/>
        </w:rPr>
        <w:t xml:space="preserve"> </w:t>
      </w:r>
      <w:r>
        <w:rPr>
          <w:sz w:val="24"/>
        </w:rPr>
        <w:t>/</w:t>
      </w:r>
      <w:r>
        <w:rPr>
          <w:spacing w:val="-7"/>
          <w:sz w:val="24"/>
        </w:rPr>
        <w:t xml:space="preserve"> </w:t>
      </w:r>
      <w:r>
        <w:rPr>
          <w:sz w:val="24"/>
        </w:rPr>
        <w:t>professional</w:t>
      </w:r>
      <w:r>
        <w:rPr>
          <w:spacing w:val="-6"/>
          <w:sz w:val="24"/>
        </w:rPr>
        <w:t xml:space="preserve"> </w:t>
      </w:r>
      <w:r>
        <w:rPr>
          <w:sz w:val="24"/>
        </w:rPr>
        <w:t>posts,</w:t>
      </w:r>
      <w:r>
        <w:rPr>
          <w:spacing w:val="-5"/>
          <w:sz w:val="24"/>
        </w:rPr>
        <w:t xml:space="preserve"> </w:t>
      </w:r>
      <w:r>
        <w:rPr>
          <w:sz w:val="24"/>
        </w:rPr>
        <w:t>and</w:t>
      </w:r>
      <w:r>
        <w:rPr>
          <w:spacing w:val="-5"/>
          <w:sz w:val="24"/>
        </w:rPr>
        <w:t xml:space="preserve"> </w:t>
      </w:r>
      <w:r>
        <w:rPr>
          <w:sz w:val="24"/>
        </w:rPr>
        <w:t>will</w:t>
      </w:r>
      <w:r>
        <w:rPr>
          <w:spacing w:val="-6"/>
          <w:sz w:val="24"/>
        </w:rPr>
        <w:t xml:space="preserve"> </w:t>
      </w:r>
      <w:r>
        <w:rPr>
          <w:sz w:val="24"/>
        </w:rPr>
        <w:t>continue</w:t>
      </w:r>
      <w:r>
        <w:rPr>
          <w:spacing w:val="-7"/>
          <w:sz w:val="24"/>
        </w:rPr>
        <w:t xml:space="preserve"> </w:t>
      </w:r>
      <w:r>
        <w:rPr>
          <w:sz w:val="24"/>
        </w:rPr>
        <w:t>build</w:t>
      </w:r>
      <w:r>
        <w:rPr>
          <w:spacing w:val="-7"/>
          <w:sz w:val="24"/>
        </w:rPr>
        <w:t xml:space="preserve"> </w:t>
      </w:r>
      <w:r>
        <w:rPr>
          <w:sz w:val="24"/>
        </w:rPr>
        <w:t>on the work of this initiative to ensure that all vacancies are advertised</w:t>
      </w:r>
      <w:r>
        <w:rPr>
          <w:spacing w:val="-1"/>
          <w:sz w:val="24"/>
        </w:rPr>
        <w:t xml:space="preserve"> </w:t>
      </w:r>
      <w:r>
        <w:rPr>
          <w:sz w:val="24"/>
        </w:rPr>
        <w:t>as flexible and encourage applicants to approach managers to discuss flexible working requirements at appointment stage. As part of promotion of flexible working managers</w:t>
      </w:r>
      <w:r>
        <w:rPr>
          <w:spacing w:val="-2"/>
          <w:sz w:val="24"/>
        </w:rPr>
        <w:t xml:space="preserve"> </w:t>
      </w:r>
      <w:r>
        <w:rPr>
          <w:sz w:val="24"/>
        </w:rPr>
        <w:t>undertook</w:t>
      </w:r>
      <w:r>
        <w:rPr>
          <w:spacing w:val="-1"/>
          <w:sz w:val="24"/>
        </w:rPr>
        <w:t xml:space="preserve"> </w:t>
      </w:r>
      <w:r>
        <w:rPr>
          <w:sz w:val="24"/>
        </w:rPr>
        <w:t xml:space="preserve">training in 2018 to encourage them to </w:t>
      </w:r>
      <w:proofErr w:type="spellStart"/>
      <w:r>
        <w:rPr>
          <w:sz w:val="24"/>
        </w:rPr>
        <w:t>analyse</w:t>
      </w:r>
      <w:proofErr w:type="spellEnd"/>
      <w:r>
        <w:rPr>
          <w:spacing w:val="-3"/>
          <w:sz w:val="24"/>
        </w:rPr>
        <w:t xml:space="preserve"> </w:t>
      </w:r>
      <w:r>
        <w:rPr>
          <w:sz w:val="24"/>
        </w:rPr>
        <w:t>vacancies before</w:t>
      </w:r>
      <w:r>
        <w:rPr>
          <w:spacing w:val="-2"/>
          <w:sz w:val="24"/>
        </w:rPr>
        <w:t xml:space="preserve"> </w:t>
      </w:r>
      <w:r>
        <w:rPr>
          <w:sz w:val="24"/>
        </w:rPr>
        <w:t>appointment</w:t>
      </w:r>
      <w:r>
        <w:rPr>
          <w:spacing w:val="-2"/>
          <w:sz w:val="24"/>
        </w:rPr>
        <w:t xml:space="preserve"> </w:t>
      </w:r>
      <w:r>
        <w:rPr>
          <w:sz w:val="24"/>
        </w:rPr>
        <w:t>to</w:t>
      </w:r>
      <w:r>
        <w:rPr>
          <w:spacing w:val="-3"/>
          <w:sz w:val="24"/>
        </w:rPr>
        <w:t xml:space="preserve"> </w:t>
      </w:r>
      <w:r>
        <w:rPr>
          <w:sz w:val="24"/>
        </w:rPr>
        <w:t>determine</w:t>
      </w:r>
      <w:r>
        <w:rPr>
          <w:spacing w:val="-1"/>
          <w:sz w:val="24"/>
        </w:rPr>
        <w:t xml:space="preserve"> </w:t>
      </w:r>
      <w:r>
        <w:rPr>
          <w:sz w:val="24"/>
        </w:rPr>
        <w:t>if the</w:t>
      </w:r>
      <w:r>
        <w:rPr>
          <w:spacing w:val="-1"/>
          <w:sz w:val="24"/>
        </w:rPr>
        <w:t xml:space="preserve"> </w:t>
      </w:r>
      <w:r>
        <w:rPr>
          <w:sz w:val="24"/>
        </w:rPr>
        <w:t>post</w:t>
      </w:r>
      <w:r>
        <w:rPr>
          <w:spacing w:val="-2"/>
          <w:sz w:val="24"/>
        </w:rPr>
        <w:t xml:space="preserve"> </w:t>
      </w:r>
      <w:r>
        <w:rPr>
          <w:sz w:val="24"/>
        </w:rPr>
        <w:t>could</w:t>
      </w:r>
      <w:r>
        <w:rPr>
          <w:spacing w:val="-2"/>
          <w:sz w:val="24"/>
        </w:rPr>
        <w:t xml:space="preserve"> </w:t>
      </w:r>
      <w:r>
        <w:rPr>
          <w:sz w:val="24"/>
        </w:rPr>
        <w:t>be</w:t>
      </w:r>
      <w:r>
        <w:rPr>
          <w:spacing w:val="-1"/>
          <w:sz w:val="24"/>
        </w:rPr>
        <w:t xml:space="preserve"> </w:t>
      </w:r>
      <w:r>
        <w:rPr>
          <w:sz w:val="24"/>
        </w:rPr>
        <w:t>redesigned</w:t>
      </w:r>
      <w:r>
        <w:rPr>
          <w:spacing w:val="-2"/>
          <w:sz w:val="24"/>
        </w:rPr>
        <w:t xml:space="preserve"> </w:t>
      </w:r>
      <w:r>
        <w:rPr>
          <w:sz w:val="24"/>
        </w:rPr>
        <w:t>more flexibly, in addition vacancies are reviewed at CLT to challenge managers</w:t>
      </w:r>
      <w:r>
        <w:rPr>
          <w:spacing w:val="40"/>
          <w:sz w:val="24"/>
        </w:rPr>
        <w:t xml:space="preserve"> </w:t>
      </w:r>
      <w:r>
        <w:rPr>
          <w:sz w:val="24"/>
        </w:rPr>
        <w:t>when reviewing vacancies.</w:t>
      </w:r>
    </w:p>
    <w:p w14:paraId="5747FE02" w14:textId="77777777" w:rsidR="000A67EF" w:rsidRDefault="00000000">
      <w:pPr>
        <w:pStyle w:val="ListParagraph"/>
        <w:numPr>
          <w:ilvl w:val="1"/>
          <w:numId w:val="1"/>
        </w:numPr>
        <w:tabs>
          <w:tab w:val="left" w:pos="840"/>
        </w:tabs>
        <w:ind w:right="155" w:hanging="720"/>
        <w:jc w:val="both"/>
        <w:rPr>
          <w:sz w:val="24"/>
        </w:rPr>
      </w:pPr>
      <w:r>
        <w:rPr>
          <w:sz w:val="24"/>
        </w:rPr>
        <w:t xml:space="preserve">The competency framework has been embedded which looks at values and </w:t>
      </w:r>
      <w:proofErr w:type="spellStart"/>
      <w:r>
        <w:rPr>
          <w:sz w:val="24"/>
        </w:rPr>
        <w:t>behaviours</w:t>
      </w:r>
      <w:proofErr w:type="spellEnd"/>
      <w:r>
        <w:rPr>
          <w:sz w:val="24"/>
        </w:rPr>
        <w:t xml:space="preserve">. This is supported by selection exercises in recruitment, and in combination these aim to reduce any in built bias to recruit people from a </w:t>
      </w:r>
      <w:r>
        <w:rPr>
          <w:spacing w:val="-2"/>
          <w:sz w:val="24"/>
        </w:rPr>
        <w:t>specific</w:t>
      </w:r>
      <w:r>
        <w:rPr>
          <w:spacing w:val="-6"/>
          <w:sz w:val="24"/>
        </w:rPr>
        <w:t xml:space="preserve"> </w:t>
      </w:r>
      <w:r>
        <w:rPr>
          <w:spacing w:val="-2"/>
          <w:sz w:val="24"/>
        </w:rPr>
        <w:t>gender</w:t>
      </w:r>
      <w:r>
        <w:rPr>
          <w:spacing w:val="-5"/>
          <w:sz w:val="24"/>
        </w:rPr>
        <w:t xml:space="preserve"> </w:t>
      </w:r>
      <w:r>
        <w:rPr>
          <w:spacing w:val="-2"/>
          <w:sz w:val="24"/>
        </w:rPr>
        <w:t>into</w:t>
      </w:r>
      <w:r>
        <w:rPr>
          <w:spacing w:val="-8"/>
          <w:sz w:val="24"/>
        </w:rPr>
        <w:t xml:space="preserve"> </w:t>
      </w:r>
      <w:r>
        <w:rPr>
          <w:spacing w:val="-2"/>
          <w:sz w:val="24"/>
        </w:rPr>
        <w:t>traditional</w:t>
      </w:r>
      <w:r>
        <w:rPr>
          <w:spacing w:val="-10"/>
          <w:sz w:val="24"/>
        </w:rPr>
        <w:t xml:space="preserve"> </w:t>
      </w:r>
      <w:r>
        <w:rPr>
          <w:spacing w:val="-2"/>
          <w:sz w:val="24"/>
        </w:rPr>
        <w:t>gender</w:t>
      </w:r>
      <w:r>
        <w:rPr>
          <w:spacing w:val="-6"/>
          <w:sz w:val="24"/>
        </w:rPr>
        <w:t xml:space="preserve"> </w:t>
      </w:r>
      <w:r>
        <w:rPr>
          <w:spacing w:val="-2"/>
          <w:sz w:val="24"/>
        </w:rPr>
        <w:t>dominated</w:t>
      </w:r>
      <w:r>
        <w:rPr>
          <w:spacing w:val="-5"/>
          <w:sz w:val="24"/>
        </w:rPr>
        <w:t xml:space="preserve"> </w:t>
      </w:r>
      <w:r>
        <w:rPr>
          <w:spacing w:val="-2"/>
          <w:sz w:val="24"/>
        </w:rPr>
        <w:t>posts.</w:t>
      </w:r>
      <w:r>
        <w:rPr>
          <w:spacing w:val="-3"/>
          <w:sz w:val="24"/>
        </w:rPr>
        <w:t xml:space="preserve"> </w:t>
      </w:r>
      <w:r>
        <w:rPr>
          <w:spacing w:val="-2"/>
          <w:sz w:val="24"/>
        </w:rPr>
        <w:t>In</w:t>
      </w:r>
      <w:r>
        <w:rPr>
          <w:spacing w:val="-8"/>
          <w:sz w:val="24"/>
        </w:rPr>
        <w:t xml:space="preserve"> </w:t>
      </w:r>
      <w:r>
        <w:rPr>
          <w:spacing w:val="-2"/>
          <w:sz w:val="24"/>
        </w:rPr>
        <w:t>2018</w:t>
      </w:r>
      <w:r>
        <w:rPr>
          <w:spacing w:val="-8"/>
          <w:sz w:val="24"/>
        </w:rPr>
        <w:t xml:space="preserve"> </w:t>
      </w:r>
      <w:r>
        <w:rPr>
          <w:spacing w:val="-2"/>
          <w:sz w:val="24"/>
        </w:rPr>
        <w:t>managers</w:t>
      </w:r>
      <w:r>
        <w:rPr>
          <w:spacing w:val="-6"/>
          <w:sz w:val="24"/>
        </w:rPr>
        <w:t xml:space="preserve"> </w:t>
      </w:r>
      <w:r>
        <w:rPr>
          <w:spacing w:val="-2"/>
          <w:sz w:val="24"/>
        </w:rPr>
        <w:t xml:space="preserve">have </w:t>
      </w:r>
      <w:r>
        <w:rPr>
          <w:sz w:val="24"/>
        </w:rPr>
        <w:t>received training about using selection exercises in recruitment and selecting appropriate exercises depending on the vacancy being advertised.</w:t>
      </w:r>
    </w:p>
    <w:p w14:paraId="7FE86FB6" w14:textId="77777777" w:rsidR="000A67EF" w:rsidRDefault="000A67EF">
      <w:pPr>
        <w:jc w:val="both"/>
        <w:rPr>
          <w:sz w:val="24"/>
        </w:rPr>
        <w:sectPr w:rsidR="000A67EF">
          <w:pgSz w:w="11910" w:h="16840"/>
          <w:pgMar w:top="1800" w:right="1280" w:bottom="1180" w:left="1320" w:header="708" w:footer="998" w:gutter="0"/>
          <w:cols w:space="720"/>
        </w:sectPr>
      </w:pPr>
    </w:p>
    <w:p w14:paraId="131282EB" w14:textId="77777777" w:rsidR="000A67EF" w:rsidRDefault="00000000">
      <w:pPr>
        <w:pStyle w:val="ListParagraph"/>
        <w:numPr>
          <w:ilvl w:val="1"/>
          <w:numId w:val="1"/>
        </w:numPr>
        <w:tabs>
          <w:tab w:val="left" w:pos="840"/>
        </w:tabs>
        <w:spacing w:before="90"/>
        <w:ind w:right="157" w:hanging="720"/>
        <w:jc w:val="both"/>
        <w:rPr>
          <w:sz w:val="24"/>
        </w:rPr>
      </w:pPr>
      <w:r>
        <w:rPr>
          <w:sz w:val="24"/>
        </w:rPr>
        <w:lastRenderedPageBreak/>
        <w:t>Engaging young people early on (for example via apprenticeships) to try and encourage applications from under-represented groups in traditional gender dominated posts.</w:t>
      </w:r>
    </w:p>
    <w:sectPr w:rsidR="000A67EF">
      <w:pgSz w:w="11910" w:h="16840"/>
      <w:pgMar w:top="1800" w:right="1280" w:bottom="1180" w:left="1320" w:header="708"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94513" w14:textId="77777777" w:rsidR="00A17D1A" w:rsidRDefault="00A17D1A">
      <w:r>
        <w:separator/>
      </w:r>
    </w:p>
  </w:endnote>
  <w:endnote w:type="continuationSeparator" w:id="0">
    <w:p w14:paraId="41E1470E" w14:textId="77777777" w:rsidR="00A17D1A" w:rsidRDefault="00A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FEC0" w14:textId="77777777" w:rsidR="000A67EF" w:rsidRDefault="00000000">
    <w:pPr>
      <w:pStyle w:val="BodyText"/>
      <w:spacing w:line="14" w:lineRule="auto"/>
      <w:rPr>
        <w:sz w:val="20"/>
      </w:rPr>
    </w:pPr>
    <w:r>
      <w:rPr>
        <w:noProof/>
      </w:rPr>
      <mc:AlternateContent>
        <mc:Choice Requires="wps">
          <w:drawing>
            <wp:anchor distT="0" distB="0" distL="0" distR="0" simplePos="0" relativeHeight="487519232" behindDoc="1" locked="0" layoutInCell="1" allowOverlap="1" wp14:anchorId="49E340EE" wp14:editId="2E3ED5D6">
              <wp:simplePos x="0" y="0"/>
              <wp:positionH relativeFrom="page">
                <wp:posOffset>3442842</wp:posOffset>
              </wp:positionH>
              <wp:positionV relativeFrom="page">
                <wp:posOffset>9918693</wp:posOffset>
              </wp:positionV>
              <wp:extent cx="6737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3B9E3162" w14:textId="77777777" w:rsidR="000A67EF" w:rsidRDefault="00000000">
                          <w:pPr>
                            <w:spacing w:before="12"/>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4"/>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49E340EE" id="_x0000_t202" coordsize="21600,21600" o:spt="202" path="m,l,21600r21600,l21600,xe">
              <v:stroke joinstyle="miter"/>
              <v:path gradientshapeok="t" o:connecttype="rect"/>
            </v:shapetype>
            <v:shape id="Textbox 2" o:spid="_x0000_s1026" type="#_x0000_t202" style="position:absolute;margin-left:271.1pt;margin-top:781pt;width:53.05pt;height:13.1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" filled="f" stroked="f">
              <v:textbox inset="0,0,0,0">
                <w:txbxContent>
                  <w:p w14:paraId="3B9E3162" w14:textId="77777777" w:rsidR="000A67EF" w:rsidRDefault="00000000">
                    <w:pPr>
                      <w:spacing w:before="12"/>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4"/>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D90E1" w14:textId="77777777" w:rsidR="00A17D1A" w:rsidRDefault="00A17D1A">
      <w:r>
        <w:separator/>
      </w:r>
    </w:p>
  </w:footnote>
  <w:footnote w:type="continuationSeparator" w:id="0">
    <w:p w14:paraId="2F5A8FD6" w14:textId="77777777" w:rsidR="00A17D1A" w:rsidRDefault="00A17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E601" w14:textId="6AD83AEA" w:rsidR="000A67EF" w:rsidRDefault="000A67EF" w:rsidP="00DB6AB8">
    <w:pPr>
      <w:pStyle w:val="BodyText"/>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55680"/>
    <w:multiLevelType w:val="hybridMultilevel"/>
    <w:tmpl w:val="84F08CEE"/>
    <w:lvl w:ilvl="0" w:tplc="1CC4EC46">
      <w:start w:val="1"/>
      <w:numFmt w:val="decimal"/>
      <w:lvlText w:val="%1.0"/>
      <w:lvlJc w:val="left"/>
      <w:pPr>
        <w:ind w:left="982" w:hanging="862"/>
        <w:jc w:val="left"/>
      </w:pPr>
      <w:rPr>
        <w:rFonts w:ascii="Arial" w:eastAsia="Arial" w:hAnsi="Arial" w:cs="Arial" w:hint="default"/>
        <w:b/>
        <w:bCs/>
        <w:i w:val="0"/>
        <w:iCs w:val="0"/>
        <w:spacing w:val="0"/>
        <w:w w:val="99"/>
        <w:sz w:val="24"/>
        <w:szCs w:val="24"/>
        <w:lang w:val="en-US" w:eastAsia="en-US" w:bidi="ar-SA"/>
      </w:rPr>
    </w:lvl>
    <w:lvl w:ilvl="1" w:tplc="F50097D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D1FA1874">
      <w:numFmt w:val="bullet"/>
      <w:lvlText w:val="•"/>
      <w:lvlJc w:val="left"/>
      <w:pPr>
        <w:ind w:left="1905" w:hanging="360"/>
      </w:pPr>
      <w:rPr>
        <w:rFonts w:hint="default"/>
        <w:lang w:val="en-US" w:eastAsia="en-US" w:bidi="ar-SA"/>
      </w:rPr>
    </w:lvl>
    <w:lvl w:ilvl="3" w:tplc="93B4F664">
      <w:numFmt w:val="bullet"/>
      <w:lvlText w:val="•"/>
      <w:lvlJc w:val="left"/>
      <w:pPr>
        <w:ind w:left="2830" w:hanging="360"/>
      </w:pPr>
      <w:rPr>
        <w:rFonts w:hint="default"/>
        <w:lang w:val="en-US" w:eastAsia="en-US" w:bidi="ar-SA"/>
      </w:rPr>
    </w:lvl>
    <w:lvl w:ilvl="4" w:tplc="DC10F6AE">
      <w:numFmt w:val="bullet"/>
      <w:lvlText w:val="•"/>
      <w:lvlJc w:val="left"/>
      <w:pPr>
        <w:ind w:left="3755" w:hanging="360"/>
      </w:pPr>
      <w:rPr>
        <w:rFonts w:hint="default"/>
        <w:lang w:val="en-US" w:eastAsia="en-US" w:bidi="ar-SA"/>
      </w:rPr>
    </w:lvl>
    <w:lvl w:ilvl="5" w:tplc="F4D8A85E">
      <w:numFmt w:val="bullet"/>
      <w:lvlText w:val="•"/>
      <w:lvlJc w:val="left"/>
      <w:pPr>
        <w:ind w:left="4680" w:hanging="360"/>
      </w:pPr>
      <w:rPr>
        <w:rFonts w:hint="default"/>
        <w:lang w:val="en-US" w:eastAsia="en-US" w:bidi="ar-SA"/>
      </w:rPr>
    </w:lvl>
    <w:lvl w:ilvl="6" w:tplc="CCBCFDB8">
      <w:numFmt w:val="bullet"/>
      <w:lvlText w:val="•"/>
      <w:lvlJc w:val="left"/>
      <w:pPr>
        <w:ind w:left="5605" w:hanging="360"/>
      </w:pPr>
      <w:rPr>
        <w:rFonts w:hint="default"/>
        <w:lang w:val="en-US" w:eastAsia="en-US" w:bidi="ar-SA"/>
      </w:rPr>
    </w:lvl>
    <w:lvl w:ilvl="7" w:tplc="3446E508">
      <w:numFmt w:val="bullet"/>
      <w:lvlText w:val="•"/>
      <w:lvlJc w:val="left"/>
      <w:pPr>
        <w:ind w:left="6530" w:hanging="360"/>
      </w:pPr>
      <w:rPr>
        <w:rFonts w:hint="default"/>
        <w:lang w:val="en-US" w:eastAsia="en-US" w:bidi="ar-SA"/>
      </w:rPr>
    </w:lvl>
    <w:lvl w:ilvl="8" w:tplc="254EAC42">
      <w:numFmt w:val="bullet"/>
      <w:lvlText w:val="•"/>
      <w:lvlJc w:val="left"/>
      <w:pPr>
        <w:ind w:left="7456" w:hanging="360"/>
      </w:pPr>
      <w:rPr>
        <w:rFonts w:hint="default"/>
        <w:lang w:val="en-US" w:eastAsia="en-US" w:bidi="ar-SA"/>
      </w:rPr>
    </w:lvl>
  </w:abstractNum>
  <w:num w:numId="1" w16cid:durableId="199729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EF"/>
    <w:rsid w:val="000A67EF"/>
    <w:rsid w:val="00A17D1A"/>
    <w:rsid w:val="00AE53B4"/>
    <w:rsid w:val="00DB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6465"/>
  <w15:docId w15:val="{68309382-53B5-4953-B367-9F9D9F3B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516"/>
    </w:pPr>
    <w:rPr>
      <w:b/>
      <w:bCs/>
      <w:sz w:val="28"/>
      <w:szCs w:val="28"/>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spacing w:line="255" w:lineRule="exact"/>
      <w:ind w:left="13"/>
      <w:jc w:val="center"/>
    </w:pPr>
  </w:style>
  <w:style w:type="paragraph" w:styleId="Header">
    <w:name w:val="header"/>
    <w:basedOn w:val="Normal"/>
    <w:link w:val="HeaderChar"/>
    <w:uiPriority w:val="99"/>
    <w:unhideWhenUsed/>
    <w:rsid w:val="00DB6AB8"/>
    <w:pPr>
      <w:tabs>
        <w:tab w:val="center" w:pos="4513"/>
        <w:tab w:val="right" w:pos="9026"/>
      </w:tabs>
    </w:pPr>
  </w:style>
  <w:style w:type="character" w:customStyle="1" w:styleId="HeaderChar">
    <w:name w:val="Header Char"/>
    <w:basedOn w:val="DefaultParagraphFont"/>
    <w:link w:val="Header"/>
    <w:uiPriority w:val="99"/>
    <w:rsid w:val="00DB6AB8"/>
    <w:rPr>
      <w:rFonts w:ascii="Arial" w:eastAsia="Arial" w:hAnsi="Arial" w:cs="Arial"/>
    </w:rPr>
  </w:style>
  <w:style w:type="paragraph" w:styleId="Footer">
    <w:name w:val="footer"/>
    <w:basedOn w:val="Normal"/>
    <w:link w:val="FooterChar"/>
    <w:uiPriority w:val="99"/>
    <w:unhideWhenUsed/>
    <w:rsid w:val="00DB6AB8"/>
    <w:pPr>
      <w:tabs>
        <w:tab w:val="center" w:pos="4513"/>
        <w:tab w:val="right" w:pos="9026"/>
      </w:tabs>
    </w:pPr>
  </w:style>
  <w:style w:type="character" w:customStyle="1" w:styleId="FooterChar">
    <w:name w:val="Footer Char"/>
    <w:basedOn w:val="DefaultParagraphFont"/>
    <w:link w:val="Footer"/>
    <w:uiPriority w:val="99"/>
    <w:rsid w:val="00DB6AB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 Gender Pay Gap Information – 2020</dc:title>
  <cp:lastModifiedBy>Sharon.Simcox</cp:lastModifiedBy>
  <cp:revision>2</cp:revision>
  <dcterms:created xsi:type="dcterms:W3CDTF">2025-02-07T14:17:00Z</dcterms:created>
  <dcterms:modified xsi:type="dcterms:W3CDTF">2025-02-07T14:17:00Z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LastSaved">
    <vt:filetime>2025-02-07T00:00:00Z</vt:filetime>
  </property>
</Properties>
</file>