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BEEA" w14:textId="0DD7EC14" w:rsidR="00652FF3" w:rsidRPr="00652FF3" w:rsidRDefault="00C8042D">
      <w:pPr>
        <w:spacing w:after="0" w:line="259" w:lineRule="auto"/>
        <w:ind w:left="1" w:right="0" w:firstLine="0"/>
        <w:jc w:val="left"/>
        <w:rPr>
          <w:b/>
          <w:sz w:val="28"/>
          <w:szCs w:val="28"/>
        </w:rPr>
      </w:pPr>
      <w:r w:rsidRPr="00652FF3">
        <w:rPr>
          <w:b/>
          <w:sz w:val="28"/>
          <w:szCs w:val="28"/>
        </w:rPr>
        <w:t>Ashfield D</w:t>
      </w:r>
      <w:r w:rsidR="00652FF3" w:rsidRPr="00652FF3">
        <w:rPr>
          <w:b/>
          <w:sz w:val="28"/>
          <w:szCs w:val="28"/>
        </w:rPr>
        <w:t xml:space="preserve">istrict Council </w:t>
      </w:r>
    </w:p>
    <w:p w14:paraId="58CCE12E" w14:textId="3F4EB53B" w:rsidR="000C3082" w:rsidRDefault="002D27EF">
      <w:pPr>
        <w:spacing w:after="0" w:line="259" w:lineRule="auto"/>
        <w:ind w:left="1" w:right="0" w:firstLine="0"/>
        <w:jc w:val="left"/>
        <w:rPr>
          <w:b/>
          <w:sz w:val="52"/>
        </w:rPr>
      </w:pPr>
      <w:r>
        <w:rPr>
          <w:b/>
          <w:sz w:val="52"/>
        </w:rPr>
        <w:t xml:space="preserve">Decant Policy  </w:t>
      </w:r>
    </w:p>
    <w:p w14:paraId="33C67F3C" w14:textId="77777777" w:rsidR="00B516C5" w:rsidRDefault="00B516C5">
      <w:pPr>
        <w:spacing w:after="0" w:line="259" w:lineRule="auto"/>
        <w:ind w:left="1" w:right="0" w:firstLine="0"/>
        <w:jc w:val="left"/>
        <w:rPr>
          <w:b/>
          <w:sz w:val="24"/>
          <w:szCs w:val="24"/>
        </w:rPr>
      </w:pPr>
    </w:p>
    <w:p w14:paraId="2FB35F7C" w14:textId="2A7EEA94" w:rsidR="00405A0C" w:rsidRDefault="00405A0C">
      <w:pPr>
        <w:spacing w:after="0" w:line="259" w:lineRule="auto"/>
        <w:ind w:left="1" w:right="0" w:firstLine="0"/>
        <w:jc w:val="left"/>
        <w:rPr>
          <w:b/>
          <w:sz w:val="24"/>
          <w:szCs w:val="24"/>
        </w:rPr>
      </w:pPr>
      <w:r>
        <w:rPr>
          <w:b/>
          <w:sz w:val="24"/>
          <w:szCs w:val="24"/>
        </w:rPr>
        <w:t>April 2024</w:t>
      </w:r>
    </w:p>
    <w:p w14:paraId="2C40E7F2" w14:textId="77777777" w:rsidR="00405A0C" w:rsidRPr="00E130C7" w:rsidRDefault="00405A0C">
      <w:pPr>
        <w:spacing w:after="0" w:line="259" w:lineRule="auto"/>
        <w:ind w:left="1" w:right="0" w:firstLine="0"/>
        <w:jc w:val="left"/>
        <w:rPr>
          <w:b/>
          <w:sz w:val="24"/>
          <w:szCs w:val="24"/>
        </w:rPr>
      </w:pPr>
    </w:p>
    <w:p w14:paraId="05118324" w14:textId="5FAFA281" w:rsidR="00B516C5" w:rsidRPr="00EA0946" w:rsidRDefault="00DD723C" w:rsidP="00EA0946">
      <w:pPr>
        <w:pStyle w:val="ListParagraph"/>
        <w:numPr>
          <w:ilvl w:val="0"/>
          <w:numId w:val="32"/>
        </w:numPr>
        <w:spacing w:after="0" w:line="259" w:lineRule="auto"/>
        <w:ind w:right="0"/>
        <w:jc w:val="left"/>
        <w:rPr>
          <w:b/>
          <w:bCs/>
          <w:sz w:val="24"/>
          <w:szCs w:val="24"/>
        </w:rPr>
      </w:pPr>
      <w:r w:rsidRPr="00EA0946">
        <w:rPr>
          <w:b/>
          <w:bCs/>
          <w:sz w:val="24"/>
          <w:szCs w:val="24"/>
        </w:rPr>
        <w:t>Introduction</w:t>
      </w:r>
    </w:p>
    <w:p w14:paraId="7E62684A" w14:textId="77777777" w:rsidR="00DD723C" w:rsidRPr="00EA0946" w:rsidRDefault="00DD723C">
      <w:pPr>
        <w:spacing w:after="0" w:line="259" w:lineRule="auto"/>
        <w:ind w:left="1" w:right="0" w:firstLine="0"/>
        <w:jc w:val="left"/>
        <w:rPr>
          <w:sz w:val="24"/>
          <w:szCs w:val="24"/>
        </w:rPr>
      </w:pPr>
    </w:p>
    <w:p w14:paraId="3B3F769B" w14:textId="1F917DC4" w:rsidR="00DD723C" w:rsidRPr="00EA0946" w:rsidRDefault="00DD723C">
      <w:pPr>
        <w:spacing w:after="0" w:line="259" w:lineRule="auto"/>
        <w:ind w:left="1" w:right="0" w:firstLine="0"/>
        <w:jc w:val="left"/>
        <w:rPr>
          <w:sz w:val="24"/>
          <w:szCs w:val="24"/>
        </w:rPr>
      </w:pPr>
      <w:bookmarkStart w:id="0" w:name="_Hlk163831948"/>
      <w:r w:rsidRPr="00EA0946">
        <w:rPr>
          <w:sz w:val="24"/>
          <w:szCs w:val="24"/>
        </w:rPr>
        <w:t>Ashfield District Council (ADC) as a landlord is obliged under the terms of its tenancy agreement to keep the structure and outside of its tenanted properties, including communal areas in good repair.</w:t>
      </w:r>
    </w:p>
    <w:p w14:paraId="0C7354A4" w14:textId="77777777" w:rsidR="00DD723C" w:rsidRPr="00EA0946" w:rsidRDefault="00DD723C">
      <w:pPr>
        <w:spacing w:after="0" w:line="259" w:lineRule="auto"/>
        <w:ind w:left="1" w:right="0" w:firstLine="0"/>
        <w:jc w:val="left"/>
        <w:rPr>
          <w:sz w:val="24"/>
          <w:szCs w:val="24"/>
        </w:rPr>
      </w:pPr>
    </w:p>
    <w:p w14:paraId="610C05DA" w14:textId="597116EB" w:rsidR="00DD723C" w:rsidRPr="00EA0946" w:rsidRDefault="00DD723C" w:rsidP="00DD723C">
      <w:pPr>
        <w:ind w:left="-3" w:right="0"/>
        <w:rPr>
          <w:sz w:val="24"/>
          <w:szCs w:val="24"/>
        </w:rPr>
      </w:pPr>
      <w:r w:rsidRPr="00EA0946">
        <w:rPr>
          <w:sz w:val="24"/>
          <w:szCs w:val="24"/>
        </w:rPr>
        <w:t xml:space="preserve">Improvement works including major repairs will normally be carried out whilst the tenant remains in their home. There may be situations, such as those when the health and safety of the tenant would be at risk or the works are extensive, when works cannot be carried out with the tenant at the property.   Where this is the case, ADC will arrange to move the tenant and their household. This process is referred to as decanting and this will be done on either a temporary or permanent basis, depending on the nature of the works.  </w:t>
      </w:r>
    </w:p>
    <w:bookmarkEnd w:id="0"/>
    <w:p w14:paraId="1AB6BB32" w14:textId="3056FFB2" w:rsidR="000C3082" w:rsidRPr="00EA0946" w:rsidRDefault="002D27EF" w:rsidP="00EA0946">
      <w:pPr>
        <w:pStyle w:val="Heading2"/>
        <w:numPr>
          <w:ilvl w:val="0"/>
          <w:numId w:val="32"/>
        </w:numPr>
        <w:spacing w:after="259"/>
        <w:rPr>
          <w:sz w:val="24"/>
          <w:szCs w:val="24"/>
        </w:rPr>
      </w:pPr>
      <w:r w:rsidRPr="00EA0946">
        <w:rPr>
          <w:sz w:val="24"/>
          <w:szCs w:val="24"/>
        </w:rPr>
        <w:t xml:space="preserve">Purpose of policy </w:t>
      </w:r>
    </w:p>
    <w:p w14:paraId="6F381CAB" w14:textId="4549EE5B" w:rsidR="000C3082" w:rsidRPr="00EA0946" w:rsidRDefault="002D27EF">
      <w:pPr>
        <w:ind w:left="-3" w:right="0"/>
        <w:rPr>
          <w:sz w:val="24"/>
          <w:szCs w:val="24"/>
        </w:rPr>
      </w:pPr>
      <w:r w:rsidRPr="00EA0946">
        <w:rPr>
          <w:sz w:val="24"/>
          <w:szCs w:val="24"/>
        </w:rPr>
        <w:t xml:space="preserve">The purpose of this policy is to </w:t>
      </w:r>
      <w:r w:rsidR="00430200" w:rsidRPr="00EA0946">
        <w:rPr>
          <w:sz w:val="24"/>
          <w:szCs w:val="24"/>
        </w:rPr>
        <w:t>set out th</w:t>
      </w:r>
      <w:r w:rsidRPr="00EA0946">
        <w:rPr>
          <w:sz w:val="24"/>
          <w:szCs w:val="24"/>
        </w:rPr>
        <w:t xml:space="preserve">e approach that </w:t>
      </w:r>
      <w:r w:rsidR="009965FF" w:rsidRPr="00EA0946">
        <w:rPr>
          <w:sz w:val="24"/>
          <w:szCs w:val="24"/>
        </w:rPr>
        <w:t>Ashfield</w:t>
      </w:r>
      <w:r w:rsidRPr="00EA0946">
        <w:rPr>
          <w:sz w:val="24"/>
          <w:szCs w:val="24"/>
        </w:rPr>
        <w:t xml:space="preserve"> District Council</w:t>
      </w:r>
      <w:r w:rsidR="000705D1" w:rsidRPr="00EA0946">
        <w:rPr>
          <w:sz w:val="24"/>
          <w:szCs w:val="24"/>
        </w:rPr>
        <w:t xml:space="preserve"> </w:t>
      </w:r>
      <w:r w:rsidRPr="00EA0946">
        <w:rPr>
          <w:sz w:val="24"/>
          <w:szCs w:val="24"/>
        </w:rPr>
        <w:t xml:space="preserve">will take when moving tenants from their </w:t>
      </w:r>
      <w:r w:rsidR="00C8042D" w:rsidRPr="00EA0946">
        <w:rPr>
          <w:sz w:val="24"/>
          <w:szCs w:val="24"/>
        </w:rPr>
        <w:t>home</w:t>
      </w:r>
      <w:r w:rsidR="00DD723C" w:rsidRPr="00EA0946">
        <w:rPr>
          <w:sz w:val="24"/>
          <w:szCs w:val="24"/>
        </w:rPr>
        <w:t xml:space="preserve"> to enable work to be carried out and where it is not safe or possible for the tenant (s) and their household to remain.</w:t>
      </w:r>
      <w:r w:rsidR="00B516C5" w:rsidRPr="00EA0946">
        <w:rPr>
          <w:sz w:val="24"/>
          <w:szCs w:val="24"/>
        </w:rPr>
        <w:t xml:space="preserve"> </w:t>
      </w:r>
    </w:p>
    <w:p w14:paraId="52C75582" w14:textId="033CCC90" w:rsidR="000C3082" w:rsidRPr="00EA0946" w:rsidRDefault="002D27EF" w:rsidP="00EA0946">
      <w:pPr>
        <w:pStyle w:val="Heading2"/>
        <w:numPr>
          <w:ilvl w:val="0"/>
          <w:numId w:val="32"/>
        </w:numPr>
        <w:rPr>
          <w:sz w:val="24"/>
          <w:szCs w:val="24"/>
        </w:rPr>
      </w:pPr>
      <w:r w:rsidRPr="00EA0946">
        <w:rPr>
          <w:sz w:val="24"/>
          <w:szCs w:val="24"/>
        </w:rPr>
        <w:t xml:space="preserve">Aims of policy </w:t>
      </w:r>
    </w:p>
    <w:p w14:paraId="442843ED" w14:textId="523C047E" w:rsidR="000C3082" w:rsidRPr="00EA0946" w:rsidRDefault="002D27EF">
      <w:pPr>
        <w:spacing w:after="267"/>
        <w:ind w:left="-3" w:right="0"/>
        <w:rPr>
          <w:sz w:val="24"/>
          <w:szCs w:val="24"/>
        </w:rPr>
      </w:pPr>
      <w:r w:rsidRPr="00EA0946">
        <w:rPr>
          <w:sz w:val="24"/>
          <w:szCs w:val="24"/>
        </w:rPr>
        <w:t>The aims of this policy are</w:t>
      </w:r>
      <w:r w:rsidR="00583BD9" w:rsidRPr="00EA0946">
        <w:rPr>
          <w:sz w:val="24"/>
          <w:szCs w:val="24"/>
        </w:rPr>
        <w:t xml:space="preserve"> to</w:t>
      </w:r>
      <w:r w:rsidRPr="00EA0946">
        <w:rPr>
          <w:sz w:val="24"/>
          <w:szCs w:val="24"/>
        </w:rPr>
        <w:t xml:space="preserve">:  </w:t>
      </w:r>
    </w:p>
    <w:p w14:paraId="054D6BD2" w14:textId="604E990E" w:rsidR="00051A6A" w:rsidRPr="00EA0946" w:rsidRDefault="00051A6A" w:rsidP="00583BD9">
      <w:pPr>
        <w:pStyle w:val="Heading2"/>
        <w:numPr>
          <w:ilvl w:val="0"/>
          <w:numId w:val="25"/>
        </w:numPr>
        <w:rPr>
          <w:b w:val="0"/>
          <w:sz w:val="24"/>
          <w:szCs w:val="24"/>
        </w:rPr>
      </w:pPr>
      <w:r w:rsidRPr="00EA0946">
        <w:rPr>
          <w:b w:val="0"/>
          <w:sz w:val="24"/>
          <w:szCs w:val="24"/>
        </w:rPr>
        <w:t xml:space="preserve">To ensure decants operate in fair, equitable and reasonable manner. </w:t>
      </w:r>
    </w:p>
    <w:p w14:paraId="50FD6D8C" w14:textId="5F83A85F" w:rsidR="00B618CD" w:rsidRPr="00EA0946" w:rsidRDefault="00430200" w:rsidP="00583BD9">
      <w:pPr>
        <w:pStyle w:val="Heading2"/>
        <w:numPr>
          <w:ilvl w:val="0"/>
          <w:numId w:val="25"/>
        </w:numPr>
        <w:rPr>
          <w:b w:val="0"/>
          <w:sz w:val="24"/>
          <w:szCs w:val="24"/>
        </w:rPr>
      </w:pPr>
      <w:r w:rsidRPr="00EA0946">
        <w:rPr>
          <w:b w:val="0"/>
          <w:sz w:val="24"/>
          <w:szCs w:val="24"/>
        </w:rPr>
        <w:t>Provide tenants with a clear process for decant and rehousing, to ensure their options are clearly explained</w:t>
      </w:r>
      <w:r w:rsidR="00C8042D" w:rsidRPr="00EA0946">
        <w:rPr>
          <w:b w:val="0"/>
          <w:sz w:val="24"/>
          <w:szCs w:val="24"/>
        </w:rPr>
        <w:t xml:space="preserve"> and that they are aware of their rights and responsibilities and those of ADC</w:t>
      </w:r>
      <w:r w:rsidRPr="00EA0946">
        <w:rPr>
          <w:b w:val="0"/>
          <w:sz w:val="24"/>
          <w:szCs w:val="24"/>
        </w:rPr>
        <w:t>.</w:t>
      </w:r>
    </w:p>
    <w:p w14:paraId="4E51A30B" w14:textId="23A11BA4" w:rsidR="00430200" w:rsidRPr="00EA0946" w:rsidRDefault="00051A6A" w:rsidP="00583BD9">
      <w:pPr>
        <w:pStyle w:val="Heading2"/>
        <w:numPr>
          <w:ilvl w:val="0"/>
          <w:numId w:val="25"/>
        </w:numPr>
        <w:rPr>
          <w:b w:val="0"/>
          <w:sz w:val="24"/>
          <w:szCs w:val="24"/>
        </w:rPr>
      </w:pPr>
      <w:r w:rsidRPr="00EA0946">
        <w:rPr>
          <w:b w:val="0"/>
          <w:sz w:val="24"/>
          <w:szCs w:val="24"/>
        </w:rPr>
        <w:t>To enable decants to be carried out with the minimal disturbance to tenants</w:t>
      </w:r>
      <w:r w:rsidR="00430200" w:rsidRPr="00EA0946">
        <w:rPr>
          <w:b w:val="0"/>
          <w:sz w:val="24"/>
          <w:szCs w:val="24"/>
        </w:rPr>
        <w:t>.</w:t>
      </w:r>
    </w:p>
    <w:p w14:paraId="56095D65" w14:textId="56B7262C" w:rsidR="00051A6A" w:rsidRPr="00EA0946" w:rsidRDefault="00051A6A" w:rsidP="00051A6A">
      <w:pPr>
        <w:pStyle w:val="ListParagraph"/>
        <w:numPr>
          <w:ilvl w:val="0"/>
          <w:numId w:val="25"/>
        </w:numPr>
        <w:rPr>
          <w:sz w:val="24"/>
          <w:szCs w:val="24"/>
        </w:rPr>
      </w:pPr>
      <w:r w:rsidRPr="00EA0946">
        <w:rPr>
          <w:sz w:val="24"/>
          <w:szCs w:val="24"/>
        </w:rPr>
        <w:t xml:space="preserve">To outline the support, both financial and practical, provided to tenants who are required to decant.   </w:t>
      </w:r>
    </w:p>
    <w:p w14:paraId="74525446" w14:textId="77777777" w:rsidR="00051A6A" w:rsidRPr="00EA0946" w:rsidRDefault="00051A6A" w:rsidP="00EA0946">
      <w:pPr>
        <w:pStyle w:val="ListParagraph"/>
        <w:ind w:left="347" w:firstLine="0"/>
        <w:rPr>
          <w:sz w:val="24"/>
          <w:szCs w:val="24"/>
        </w:rPr>
      </w:pPr>
    </w:p>
    <w:p w14:paraId="5D4C36F7" w14:textId="77777777" w:rsidR="00EA0946" w:rsidRDefault="00051A6A" w:rsidP="00583BD9">
      <w:pPr>
        <w:pStyle w:val="ListParagraph"/>
        <w:numPr>
          <w:ilvl w:val="0"/>
          <w:numId w:val="25"/>
        </w:numPr>
        <w:rPr>
          <w:sz w:val="24"/>
          <w:szCs w:val="24"/>
        </w:rPr>
      </w:pPr>
      <w:r w:rsidRPr="00EA0946">
        <w:rPr>
          <w:sz w:val="24"/>
          <w:szCs w:val="24"/>
        </w:rPr>
        <w:t xml:space="preserve">To minimise rent loss to ADC and to ensure that the best use is made of ADC’s resources. </w:t>
      </w:r>
    </w:p>
    <w:p w14:paraId="4FE59113" w14:textId="77777777" w:rsidR="00EA0946" w:rsidRPr="00EA0946" w:rsidRDefault="00EA0946" w:rsidP="00EA0946">
      <w:pPr>
        <w:pStyle w:val="ListParagraph"/>
        <w:rPr>
          <w:sz w:val="24"/>
          <w:szCs w:val="24"/>
        </w:rPr>
      </w:pPr>
    </w:p>
    <w:p w14:paraId="2789810B" w14:textId="3809714C" w:rsidR="00583BD9" w:rsidRPr="00EA0946" w:rsidRDefault="00583BD9" w:rsidP="00583BD9">
      <w:pPr>
        <w:pStyle w:val="ListParagraph"/>
        <w:numPr>
          <w:ilvl w:val="0"/>
          <w:numId w:val="25"/>
        </w:numPr>
        <w:rPr>
          <w:sz w:val="24"/>
          <w:szCs w:val="24"/>
        </w:rPr>
      </w:pPr>
      <w:r w:rsidRPr="00EA0946">
        <w:rPr>
          <w:sz w:val="24"/>
          <w:szCs w:val="24"/>
        </w:rPr>
        <w:t xml:space="preserve">Ensure statutory compliance with relevant legislation, including the requirement for tenants to be compensated when </w:t>
      </w:r>
      <w:r w:rsidR="003D4DD3" w:rsidRPr="00EA0946">
        <w:rPr>
          <w:sz w:val="24"/>
          <w:szCs w:val="24"/>
        </w:rPr>
        <w:t>home loss</w:t>
      </w:r>
      <w:r w:rsidRPr="00EA0946">
        <w:rPr>
          <w:sz w:val="24"/>
          <w:szCs w:val="24"/>
        </w:rPr>
        <w:t xml:space="preserve"> applies.</w:t>
      </w:r>
    </w:p>
    <w:p w14:paraId="1481FC7C" w14:textId="50902733" w:rsidR="000C3082" w:rsidRPr="00EA0946" w:rsidRDefault="002D27EF" w:rsidP="00EA0946">
      <w:pPr>
        <w:pStyle w:val="Heading2"/>
        <w:numPr>
          <w:ilvl w:val="0"/>
          <w:numId w:val="32"/>
        </w:numPr>
        <w:rPr>
          <w:sz w:val="24"/>
          <w:szCs w:val="24"/>
        </w:rPr>
      </w:pPr>
      <w:r w:rsidRPr="00EA0946">
        <w:rPr>
          <w:sz w:val="24"/>
          <w:szCs w:val="24"/>
        </w:rPr>
        <w:lastRenderedPageBreak/>
        <w:t xml:space="preserve">Scope of policy </w:t>
      </w:r>
    </w:p>
    <w:p w14:paraId="59BFD293" w14:textId="5DD9AD1A" w:rsidR="000C3082" w:rsidRPr="00EA0946" w:rsidRDefault="00583BD9">
      <w:pPr>
        <w:ind w:left="-3" w:right="0"/>
        <w:rPr>
          <w:sz w:val="24"/>
          <w:szCs w:val="24"/>
        </w:rPr>
      </w:pPr>
      <w:r w:rsidRPr="00EA0946">
        <w:rPr>
          <w:sz w:val="24"/>
          <w:szCs w:val="24"/>
        </w:rPr>
        <w:t>ADC will offer</w:t>
      </w:r>
      <w:r w:rsidR="002D27EF" w:rsidRPr="00EA0946">
        <w:rPr>
          <w:sz w:val="24"/>
          <w:szCs w:val="24"/>
        </w:rPr>
        <w:t xml:space="preserve"> assistance and rehousing, where appropriate, to </w:t>
      </w:r>
      <w:r w:rsidR="009965FF" w:rsidRPr="00EA0946">
        <w:rPr>
          <w:sz w:val="24"/>
          <w:szCs w:val="24"/>
        </w:rPr>
        <w:t xml:space="preserve">existing </w:t>
      </w:r>
      <w:r w:rsidR="00F323BA" w:rsidRPr="00EA0946">
        <w:rPr>
          <w:sz w:val="24"/>
          <w:szCs w:val="24"/>
        </w:rPr>
        <w:t>ADC</w:t>
      </w:r>
      <w:r w:rsidRPr="00EA0946">
        <w:rPr>
          <w:sz w:val="24"/>
          <w:szCs w:val="24"/>
        </w:rPr>
        <w:t xml:space="preserve"> </w:t>
      </w:r>
      <w:r w:rsidR="002D27EF" w:rsidRPr="00EA0946">
        <w:rPr>
          <w:sz w:val="24"/>
          <w:szCs w:val="24"/>
        </w:rPr>
        <w:t xml:space="preserve">tenants, their family members, partners, spouses and children.  </w:t>
      </w:r>
    </w:p>
    <w:p w14:paraId="2EFE2DB7" w14:textId="3D094713" w:rsidR="000C3082" w:rsidRPr="00EA0946" w:rsidRDefault="00583BD9">
      <w:pPr>
        <w:ind w:left="-3" w:right="0"/>
        <w:rPr>
          <w:sz w:val="24"/>
          <w:szCs w:val="24"/>
        </w:rPr>
      </w:pPr>
      <w:r w:rsidRPr="00EA0946">
        <w:rPr>
          <w:sz w:val="24"/>
          <w:szCs w:val="24"/>
        </w:rPr>
        <w:t>ADC</w:t>
      </w:r>
      <w:r w:rsidR="002D27EF" w:rsidRPr="00EA0946">
        <w:rPr>
          <w:sz w:val="24"/>
          <w:szCs w:val="24"/>
        </w:rPr>
        <w:t xml:space="preserve"> will not rehouse unauthorised occupants, sub-tenants, lodgers</w:t>
      </w:r>
      <w:r w:rsidRPr="00EA0946">
        <w:rPr>
          <w:sz w:val="24"/>
          <w:szCs w:val="24"/>
        </w:rPr>
        <w:t xml:space="preserve"> </w:t>
      </w:r>
      <w:r w:rsidR="002D27EF" w:rsidRPr="00EA0946">
        <w:rPr>
          <w:sz w:val="24"/>
          <w:szCs w:val="24"/>
        </w:rPr>
        <w:t xml:space="preserve">and </w:t>
      </w:r>
      <w:r w:rsidRPr="00EA0946">
        <w:rPr>
          <w:sz w:val="24"/>
          <w:szCs w:val="24"/>
        </w:rPr>
        <w:t xml:space="preserve">others who do not reside with the tenant on a long term </w:t>
      </w:r>
      <w:r w:rsidR="00C8042D" w:rsidRPr="00EA0946">
        <w:rPr>
          <w:sz w:val="24"/>
          <w:szCs w:val="24"/>
        </w:rPr>
        <w:t xml:space="preserve">(min 12 months) </w:t>
      </w:r>
      <w:r w:rsidRPr="00EA0946">
        <w:rPr>
          <w:sz w:val="24"/>
          <w:szCs w:val="24"/>
        </w:rPr>
        <w:t xml:space="preserve">or permanent basis. </w:t>
      </w:r>
      <w:r w:rsidR="002D27EF" w:rsidRPr="00EA0946">
        <w:rPr>
          <w:sz w:val="24"/>
          <w:szCs w:val="24"/>
        </w:rPr>
        <w:t xml:space="preserve">    </w:t>
      </w:r>
    </w:p>
    <w:p w14:paraId="11A6ECF3" w14:textId="77EE27DA" w:rsidR="000C3082" w:rsidRPr="00EA0946" w:rsidRDefault="002D27EF" w:rsidP="00EA0946">
      <w:pPr>
        <w:pStyle w:val="Heading2"/>
        <w:numPr>
          <w:ilvl w:val="0"/>
          <w:numId w:val="32"/>
        </w:numPr>
        <w:rPr>
          <w:sz w:val="24"/>
          <w:szCs w:val="24"/>
        </w:rPr>
      </w:pPr>
      <w:r w:rsidRPr="00EA0946">
        <w:rPr>
          <w:sz w:val="24"/>
          <w:szCs w:val="24"/>
        </w:rPr>
        <w:t xml:space="preserve">Legal context </w:t>
      </w:r>
    </w:p>
    <w:p w14:paraId="4BDCDA81" w14:textId="77777777" w:rsidR="000C3082" w:rsidRPr="00EA0946" w:rsidRDefault="002D27EF">
      <w:pPr>
        <w:ind w:left="-3" w:right="0"/>
        <w:rPr>
          <w:sz w:val="24"/>
          <w:szCs w:val="24"/>
        </w:rPr>
      </w:pPr>
      <w:r w:rsidRPr="00EA0946">
        <w:rPr>
          <w:sz w:val="24"/>
          <w:szCs w:val="24"/>
        </w:rPr>
        <w:t xml:space="preserve">The key legislation that relates to decants is as follows: </w:t>
      </w:r>
    </w:p>
    <w:p w14:paraId="72B7517D" w14:textId="77777777" w:rsidR="000C3082" w:rsidRPr="008B326F" w:rsidRDefault="002D27EF" w:rsidP="008B326F">
      <w:pPr>
        <w:pStyle w:val="ListParagraph"/>
        <w:numPr>
          <w:ilvl w:val="0"/>
          <w:numId w:val="33"/>
        </w:numPr>
        <w:ind w:right="0"/>
        <w:rPr>
          <w:sz w:val="24"/>
          <w:szCs w:val="24"/>
        </w:rPr>
      </w:pPr>
      <w:r w:rsidRPr="008B326F">
        <w:rPr>
          <w:sz w:val="24"/>
          <w:szCs w:val="24"/>
        </w:rPr>
        <w:t xml:space="preserve">Housing Act 1985 </w:t>
      </w:r>
    </w:p>
    <w:p w14:paraId="7DBE2550" w14:textId="670E98D3" w:rsidR="000C3082" w:rsidRPr="00EA0946" w:rsidRDefault="002D27EF">
      <w:pPr>
        <w:ind w:left="-3" w:right="0"/>
        <w:rPr>
          <w:sz w:val="24"/>
          <w:szCs w:val="24"/>
        </w:rPr>
      </w:pPr>
      <w:r w:rsidRPr="00EA0946">
        <w:rPr>
          <w:sz w:val="24"/>
          <w:szCs w:val="24"/>
        </w:rPr>
        <w:t xml:space="preserve">If a decant is necessary, </w:t>
      </w:r>
      <w:r w:rsidR="00F323BA" w:rsidRPr="00EA0946">
        <w:rPr>
          <w:sz w:val="24"/>
          <w:szCs w:val="24"/>
        </w:rPr>
        <w:t>ADC</w:t>
      </w:r>
      <w:r w:rsidRPr="00EA0946">
        <w:rPr>
          <w:sz w:val="24"/>
          <w:szCs w:val="24"/>
        </w:rPr>
        <w:t xml:space="preserve"> has a legal obligation under Section 105 of the Housing Act 1985 to consult with tenants when they are substantially affected. Consultation must be at a time when proposals are still at an early stage and </w:t>
      </w:r>
      <w:r w:rsidR="00F323BA" w:rsidRPr="00EA0946">
        <w:rPr>
          <w:sz w:val="24"/>
          <w:szCs w:val="24"/>
        </w:rPr>
        <w:t>ADC</w:t>
      </w:r>
      <w:r w:rsidRPr="00EA0946">
        <w:rPr>
          <w:sz w:val="24"/>
          <w:szCs w:val="24"/>
        </w:rPr>
        <w:t xml:space="preserve"> will consult with all affected persons. </w:t>
      </w:r>
    </w:p>
    <w:p w14:paraId="02AA667A" w14:textId="7E9B2283" w:rsidR="000C3082" w:rsidRPr="00EA0946" w:rsidRDefault="00F323BA">
      <w:pPr>
        <w:ind w:left="-3" w:right="0"/>
        <w:rPr>
          <w:sz w:val="24"/>
          <w:szCs w:val="24"/>
        </w:rPr>
      </w:pPr>
      <w:r w:rsidRPr="00EA0946">
        <w:rPr>
          <w:sz w:val="24"/>
          <w:szCs w:val="24"/>
        </w:rPr>
        <w:t>ADC</w:t>
      </w:r>
      <w:r w:rsidR="002D27EF" w:rsidRPr="00EA0946">
        <w:rPr>
          <w:sz w:val="24"/>
          <w:szCs w:val="24"/>
        </w:rPr>
        <w:t xml:space="preserve"> retains the legal right under Ground 10 or 10a of </w:t>
      </w:r>
      <w:r w:rsidR="005306F2">
        <w:rPr>
          <w:sz w:val="24"/>
          <w:szCs w:val="24"/>
        </w:rPr>
        <w:t xml:space="preserve">Part II of </w:t>
      </w:r>
      <w:r w:rsidR="002D27EF" w:rsidRPr="00EA0946">
        <w:rPr>
          <w:sz w:val="24"/>
          <w:szCs w:val="24"/>
        </w:rPr>
        <w:t>Schedule 2 of the Housing Act 1985 to commence possession proceedings as a last resort to obtain possession of a property in order to carry out major works or refurbishments. This action will only be taken once all other alternatives have been explored and reasonable offers of rehousing rejected. Possession would only be granted by a Court with the provision of suitable alternative accommodation</w:t>
      </w:r>
      <w:r w:rsidR="00F6533F">
        <w:rPr>
          <w:sz w:val="24"/>
          <w:szCs w:val="24"/>
        </w:rPr>
        <w:t xml:space="preserve">, as defined by Part V of Schedule 2 of the housing Act 1985. </w:t>
      </w:r>
    </w:p>
    <w:p w14:paraId="32F86EBC" w14:textId="77777777" w:rsidR="000C3082" w:rsidRPr="008B326F" w:rsidRDefault="002D27EF" w:rsidP="008B326F">
      <w:pPr>
        <w:pStyle w:val="ListParagraph"/>
        <w:numPr>
          <w:ilvl w:val="0"/>
          <w:numId w:val="33"/>
        </w:numPr>
        <w:ind w:right="0"/>
        <w:rPr>
          <w:sz w:val="24"/>
          <w:szCs w:val="24"/>
        </w:rPr>
      </w:pPr>
      <w:r w:rsidRPr="008B326F">
        <w:rPr>
          <w:sz w:val="24"/>
          <w:szCs w:val="24"/>
        </w:rPr>
        <w:t xml:space="preserve">Land Compensation Act 1973 </w:t>
      </w:r>
    </w:p>
    <w:p w14:paraId="7FBCFA56" w14:textId="77777777" w:rsidR="000C3082" w:rsidRPr="00EA0946" w:rsidRDefault="002D27EF">
      <w:pPr>
        <w:ind w:left="-3" w:right="0"/>
        <w:rPr>
          <w:sz w:val="24"/>
          <w:szCs w:val="24"/>
        </w:rPr>
      </w:pPr>
      <w:r w:rsidRPr="00EA0946">
        <w:rPr>
          <w:sz w:val="24"/>
          <w:szCs w:val="24"/>
        </w:rPr>
        <w:t xml:space="preserve">Section 30 of the Land Compensation Act 1973 sets out the provisions for the statutory Home Loss Payments to be made to compensate tenants for having to permanently move out of their home, subject to certain eligibility criteria. This mandatory lump sum payment is reviewed annually and confirmed in the Home Loss Payments (Prescribed Amounts) England Regulations. </w:t>
      </w:r>
    </w:p>
    <w:p w14:paraId="0FDC9F7E" w14:textId="77777777" w:rsidR="000C3082" w:rsidRPr="00EA0946" w:rsidRDefault="002D27EF">
      <w:pPr>
        <w:ind w:left="-3" w:right="0"/>
        <w:rPr>
          <w:sz w:val="24"/>
          <w:szCs w:val="24"/>
        </w:rPr>
      </w:pPr>
      <w:r w:rsidRPr="00EA0946">
        <w:rPr>
          <w:sz w:val="24"/>
          <w:szCs w:val="24"/>
        </w:rPr>
        <w:t xml:space="preserve">The Land Compensation Act 1973 Act also sets out guidance relating to the payment of Disturbance Allowances aimed at compensating tenants for the actual cost of moving from their home. </w:t>
      </w:r>
    </w:p>
    <w:p w14:paraId="0E68DF33" w14:textId="2B8B4F29" w:rsidR="000C3082" w:rsidRPr="00EA0946" w:rsidRDefault="002D27EF" w:rsidP="00EA0946">
      <w:pPr>
        <w:pStyle w:val="Heading2"/>
        <w:numPr>
          <w:ilvl w:val="0"/>
          <w:numId w:val="32"/>
        </w:numPr>
        <w:rPr>
          <w:sz w:val="24"/>
          <w:szCs w:val="24"/>
        </w:rPr>
      </w:pPr>
      <w:r w:rsidRPr="00EA0946">
        <w:rPr>
          <w:sz w:val="24"/>
          <w:szCs w:val="24"/>
        </w:rPr>
        <w:t xml:space="preserve">Types of decant </w:t>
      </w:r>
    </w:p>
    <w:p w14:paraId="6847700E" w14:textId="77777777" w:rsidR="000C3082" w:rsidRPr="00EA0946" w:rsidRDefault="002D27EF">
      <w:pPr>
        <w:ind w:left="-3" w:right="0"/>
        <w:rPr>
          <w:sz w:val="24"/>
          <w:szCs w:val="24"/>
        </w:rPr>
      </w:pPr>
      <w:r w:rsidRPr="00EA0946">
        <w:rPr>
          <w:sz w:val="24"/>
          <w:szCs w:val="24"/>
        </w:rPr>
        <w:t xml:space="preserve">Decants will generally fall in to one of the following categories:  </w:t>
      </w:r>
    </w:p>
    <w:p w14:paraId="17A2C2B3" w14:textId="05D49806" w:rsidR="000C3082" w:rsidRPr="00EA0946" w:rsidRDefault="000705D1" w:rsidP="000705D1">
      <w:pPr>
        <w:pStyle w:val="ListParagraph"/>
        <w:numPr>
          <w:ilvl w:val="0"/>
          <w:numId w:val="16"/>
        </w:numPr>
        <w:spacing w:after="10"/>
        <w:ind w:right="0"/>
        <w:rPr>
          <w:sz w:val="24"/>
          <w:szCs w:val="24"/>
        </w:rPr>
      </w:pPr>
      <w:r w:rsidRPr="00EA0946">
        <w:rPr>
          <w:sz w:val="24"/>
          <w:szCs w:val="24"/>
        </w:rPr>
        <w:t>E</w:t>
      </w:r>
      <w:r w:rsidR="002D27EF" w:rsidRPr="00EA0946">
        <w:rPr>
          <w:sz w:val="24"/>
          <w:szCs w:val="24"/>
        </w:rPr>
        <w:t>mergency</w:t>
      </w:r>
      <w:r w:rsidRPr="00EA0946">
        <w:rPr>
          <w:sz w:val="24"/>
          <w:szCs w:val="24"/>
        </w:rPr>
        <w:t xml:space="preserve"> </w:t>
      </w:r>
      <w:r w:rsidR="002D27EF" w:rsidRPr="00EA0946">
        <w:rPr>
          <w:sz w:val="24"/>
          <w:szCs w:val="24"/>
        </w:rPr>
        <w:t xml:space="preserve"> </w:t>
      </w:r>
    </w:p>
    <w:p w14:paraId="5A13F8EF" w14:textId="0DA11CEA" w:rsidR="000C3082" w:rsidRPr="00EA0946" w:rsidRDefault="00595687" w:rsidP="000705D1">
      <w:pPr>
        <w:pStyle w:val="ListParagraph"/>
        <w:numPr>
          <w:ilvl w:val="0"/>
          <w:numId w:val="16"/>
        </w:numPr>
        <w:spacing w:after="10"/>
        <w:ind w:right="0"/>
        <w:rPr>
          <w:sz w:val="24"/>
          <w:szCs w:val="24"/>
        </w:rPr>
      </w:pPr>
      <w:r w:rsidRPr="00EA0946">
        <w:rPr>
          <w:sz w:val="24"/>
          <w:szCs w:val="24"/>
        </w:rPr>
        <w:t>Planned (</w:t>
      </w:r>
      <w:r w:rsidR="000705D1" w:rsidRPr="00EA0946">
        <w:rPr>
          <w:sz w:val="24"/>
          <w:szCs w:val="24"/>
        </w:rPr>
        <w:t>T</w:t>
      </w:r>
      <w:r w:rsidR="002D27EF" w:rsidRPr="00EA0946">
        <w:rPr>
          <w:sz w:val="24"/>
          <w:szCs w:val="24"/>
        </w:rPr>
        <w:t>emporary</w:t>
      </w:r>
      <w:r w:rsidRPr="00EA0946">
        <w:rPr>
          <w:sz w:val="24"/>
          <w:szCs w:val="24"/>
        </w:rPr>
        <w:t>)</w:t>
      </w:r>
      <w:r w:rsidR="002D27EF" w:rsidRPr="00EA0946">
        <w:rPr>
          <w:sz w:val="24"/>
          <w:szCs w:val="24"/>
        </w:rPr>
        <w:t xml:space="preserve"> </w:t>
      </w:r>
    </w:p>
    <w:p w14:paraId="622D61A3" w14:textId="6C5A639F" w:rsidR="000C3082" w:rsidRPr="00EA0946" w:rsidRDefault="000705D1" w:rsidP="000705D1">
      <w:pPr>
        <w:pStyle w:val="ListParagraph"/>
        <w:numPr>
          <w:ilvl w:val="0"/>
          <w:numId w:val="16"/>
        </w:numPr>
        <w:spacing w:after="271"/>
        <w:ind w:right="0"/>
        <w:rPr>
          <w:sz w:val="24"/>
          <w:szCs w:val="24"/>
        </w:rPr>
      </w:pPr>
      <w:r w:rsidRPr="00EA0946">
        <w:rPr>
          <w:sz w:val="24"/>
          <w:szCs w:val="24"/>
        </w:rPr>
        <w:t>P</w:t>
      </w:r>
      <w:r w:rsidR="00595687" w:rsidRPr="00EA0946">
        <w:rPr>
          <w:sz w:val="24"/>
          <w:szCs w:val="24"/>
        </w:rPr>
        <w:t>lanned (P</w:t>
      </w:r>
      <w:r w:rsidR="002D27EF" w:rsidRPr="00EA0946">
        <w:rPr>
          <w:sz w:val="24"/>
          <w:szCs w:val="24"/>
        </w:rPr>
        <w:t>ermanent</w:t>
      </w:r>
      <w:r w:rsidR="00595687" w:rsidRPr="00EA0946">
        <w:rPr>
          <w:sz w:val="24"/>
          <w:szCs w:val="24"/>
        </w:rPr>
        <w:t>)</w:t>
      </w:r>
      <w:r w:rsidR="002D27EF" w:rsidRPr="00EA0946">
        <w:rPr>
          <w:sz w:val="24"/>
          <w:szCs w:val="24"/>
        </w:rPr>
        <w:t xml:space="preserve">  </w:t>
      </w:r>
      <w:r w:rsidR="002D27EF" w:rsidRPr="00EA0946">
        <w:rPr>
          <w:sz w:val="24"/>
          <w:szCs w:val="24"/>
        </w:rPr>
        <w:tab/>
        <w:t xml:space="preserve">  </w:t>
      </w:r>
    </w:p>
    <w:p w14:paraId="3805153F" w14:textId="76AE2842" w:rsidR="000C3082" w:rsidRPr="00EA0946" w:rsidRDefault="002D27EF" w:rsidP="000705D1">
      <w:pPr>
        <w:pStyle w:val="Heading2"/>
        <w:numPr>
          <w:ilvl w:val="0"/>
          <w:numId w:val="16"/>
        </w:numPr>
        <w:tabs>
          <w:tab w:val="center" w:pos="2971"/>
        </w:tabs>
        <w:rPr>
          <w:sz w:val="24"/>
          <w:szCs w:val="24"/>
        </w:rPr>
      </w:pPr>
      <w:r w:rsidRPr="00EA0946">
        <w:rPr>
          <w:sz w:val="24"/>
          <w:szCs w:val="24"/>
        </w:rPr>
        <w:lastRenderedPageBreak/>
        <w:t xml:space="preserve">Emergency Decant  </w:t>
      </w:r>
    </w:p>
    <w:p w14:paraId="750799D4" w14:textId="1FCB9B05" w:rsidR="000705D1" w:rsidRPr="00EA0946" w:rsidRDefault="000705D1" w:rsidP="008B326F">
      <w:pPr>
        <w:pStyle w:val="Heading2"/>
        <w:tabs>
          <w:tab w:val="center" w:pos="3262"/>
        </w:tabs>
        <w:ind w:left="0" w:firstLine="0"/>
        <w:jc w:val="both"/>
        <w:rPr>
          <w:b w:val="0"/>
          <w:sz w:val="24"/>
          <w:szCs w:val="24"/>
        </w:rPr>
      </w:pPr>
      <w:r w:rsidRPr="00EA0946">
        <w:rPr>
          <w:b w:val="0"/>
          <w:sz w:val="24"/>
          <w:szCs w:val="24"/>
        </w:rPr>
        <w:t>An emergency decant is usually required when an unexpected event has caused the property to be uninhabitable such as a fire or flood</w:t>
      </w:r>
      <w:r w:rsidR="003D4DD3" w:rsidRPr="00EA0946">
        <w:rPr>
          <w:b w:val="0"/>
          <w:sz w:val="24"/>
          <w:szCs w:val="24"/>
        </w:rPr>
        <w:t xml:space="preserve"> and arrangements need to be made quickly to provide alternative accommodation.</w:t>
      </w:r>
      <w:r w:rsidRPr="00EA0946">
        <w:rPr>
          <w:b w:val="0"/>
          <w:sz w:val="24"/>
          <w:szCs w:val="24"/>
        </w:rPr>
        <w:t xml:space="preserve"> In these situations, ADC will </w:t>
      </w:r>
      <w:r w:rsidR="003D4DD3" w:rsidRPr="00EA0946">
        <w:rPr>
          <w:b w:val="0"/>
          <w:sz w:val="24"/>
          <w:szCs w:val="24"/>
        </w:rPr>
        <w:t xml:space="preserve">assist the </w:t>
      </w:r>
      <w:r w:rsidR="00595687" w:rsidRPr="00EA0946">
        <w:rPr>
          <w:b w:val="0"/>
          <w:sz w:val="24"/>
          <w:szCs w:val="24"/>
        </w:rPr>
        <w:t>tenant</w:t>
      </w:r>
      <w:r w:rsidRPr="00EA0946">
        <w:rPr>
          <w:b w:val="0"/>
          <w:sz w:val="24"/>
          <w:szCs w:val="24"/>
        </w:rPr>
        <w:t xml:space="preserve"> in finding alternative accommodation. This may include but is not limited to: </w:t>
      </w:r>
    </w:p>
    <w:p w14:paraId="2CCE9116" w14:textId="73897FB5" w:rsidR="000705D1" w:rsidRPr="00EA0946" w:rsidRDefault="006B5196" w:rsidP="006B5196">
      <w:pPr>
        <w:pStyle w:val="Heading2"/>
        <w:tabs>
          <w:tab w:val="center" w:pos="3262"/>
        </w:tabs>
        <w:ind w:left="361" w:firstLine="0"/>
        <w:rPr>
          <w:b w:val="0"/>
          <w:sz w:val="24"/>
          <w:szCs w:val="24"/>
        </w:rPr>
      </w:pPr>
      <w:r w:rsidRPr="00EA0946">
        <w:rPr>
          <w:b w:val="0"/>
          <w:sz w:val="24"/>
          <w:szCs w:val="24"/>
        </w:rPr>
        <w:t xml:space="preserve">- </w:t>
      </w:r>
      <w:r w:rsidR="003D4DD3" w:rsidRPr="00EA0946">
        <w:rPr>
          <w:b w:val="0"/>
          <w:sz w:val="24"/>
          <w:szCs w:val="24"/>
        </w:rPr>
        <w:t>Encouraging them to stay</w:t>
      </w:r>
      <w:r w:rsidR="000705D1" w:rsidRPr="00EA0946">
        <w:rPr>
          <w:b w:val="0"/>
          <w:sz w:val="24"/>
          <w:szCs w:val="24"/>
        </w:rPr>
        <w:t xml:space="preserve"> with friends or family</w:t>
      </w:r>
      <w:r w:rsidRPr="00EA0946">
        <w:rPr>
          <w:b w:val="0"/>
          <w:sz w:val="24"/>
          <w:szCs w:val="24"/>
        </w:rPr>
        <w:br/>
        <w:t xml:space="preserve">- </w:t>
      </w:r>
      <w:r w:rsidR="003D4DD3" w:rsidRPr="00EA0946">
        <w:rPr>
          <w:b w:val="0"/>
          <w:sz w:val="24"/>
          <w:szCs w:val="24"/>
        </w:rPr>
        <w:t xml:space="preserve">Sourcing </w:t>
      </w:r>
      <w:r w:rsidR="000705D1" w:rsidRPr="00EA0946">
        <w:rPr>
          <w:b w:val="0"/>
          <w:sz w:val="24"/>
          <w:szCs w:val="24"/>
        </w:rPr>
        <w:t xml:space="preserve">Bed and breakfast / hotel type accommodation (board only) </w:t>
      </w:r>
      <w:r w:rsidR="000705D1" w:rsidRPr="00EA0946">
        <w:rPr>
          <w:b w:val="0"/>
          <w:sz w:val="24"/>
          <w:szCs w:val="24"/>
        </w:rPr>
        <w:br/>
      </w:r>
      <w:r w:rsidRPr="00EA0946">
        <w:rPr>
          <w:b w:val="0"/>
          <w:sz w:val="24"/>
          <w:szCs w:val="24"/>
        </w:rPr>
        <w:t xml:space="preserve">- </w:t>
      </w:r>
      <w:r w:rsidR="003D4DD3" w:rsidRPr="00EA0946">
        <w:rPr>
          <w:b w:val="0"/>
          <w:sz w:val="24"/>
          <w:szCs w:val="24"/>
        </w:rPr>
        <w:t xml:space="preserve">Sourcing alternative </w:t>
      </w:r>
      <w:r w:rsidR="000705D1" w:rsidRPr="00EA0946">
        <w:rPr>
          <w:b w:val="0"/>
          <w:sz w:val="24"/>
          <w:szCs w:val="24"/>
        </w:rPr>
        <w:t>A</w:t>
      </w:r>
      <w:r w:rsidRPr="00EA0946">
        <w:rPr>
          <w:b w:val="0"/>
          <w:sz w:val="24"/>
          <w:szCs w:val="24"/>
        </w:rPr>
        <w:t>DC</w:t>
      </w:r>
      <w:r w:rsidR="000705D1" w:rsidRPr="00EA0946">
        <w:rPr>
          <w:b w:val="0"/>
          <w:sz w:val="24"/>
          <w:szCs w:val="24"/>
        </w:rPr>
        <w:t xml:space="preserve"> accommodation </w:t>
      </w:r>
      <w:r w:rsidR="000705D1" w:rsidRPr="00EA0946">
        <w:rPr>
          <w:b w:val="0"/>
          <w:sz w:val="24"/>
          <w:szCs w:val="24"/>
        </w:rPr>
        <w:br/>
      </w:r>
      <w:r w:rsidRPr="00EA0946">
        <w:rPr>
          <w:b w:val="0"/>
          <w:sz w:val="24"/>
          <w:szCs w:val="24"/>
        </w:rPr>
        <w:t>-</w:t>
      </w:r>
      <w:r w:rsidR="00E130C7" w:rsidRPr="00EA0946">
        <w:rPr>
          <w:b w:val="0"/>
          <w:sz w:val="24"/>
          <w:szCs w:val="24"/>
        </w:rPr>
        <w:t xml:space="preserve"> </w:t>
      </w:r>
      <w:r w:rsidR="003D4DD3" w:rsidRPr="00EA0946">
        <w:rPr>
          <w:b w:val="0"/>
          <w:sz w:val="24"/>
          <w:szCs w:val="24"/>
        </w:rPr>
        <w:t>Sourcing p</w:t>
      </w:r>
      <w:r w:rsidR="000705D1" w:rsidRPr="00EA0946">
        <w:rPr>
          <w:b w:val="0"/>
          <w:sz w:val="24"/>
          <w:szCs w:val="24"/>
        </w:rPr>
        <w:t>rivate rental</w:t>
      </w:r>
      <w:r w:rsidR="003D4DD3" w:rsidRPr="00EA0946">
        <w:rPr>
          <w:b w:val="0"/>
          <w:sz w:val="24"/>
          <w:szCs w:val="24"/>
        </w:rPr>
        <w:t xml:space="preserve"> accommodation</w:t>
      </w:r>
      <w:r w:rsidR="000705D1" w:rsidRPr="00EA0946">
        <w:rPr>
          <w:b w:val="0"/>
          <w:sz w:val="24"/>
          <w:szCs w:val="24"/>
        </w:rPr>
        <w:t xml:space="preserve"> </w:t>
      </w:r>
    </w:p>
    <w:p w14:paraId="05968238" w14:textId="292E9CB6" w:rsidR="000705D1" w:rsidRPr="00EA0946" w:rsidRDefault="000705D1" w:rsidP="008B326F">
      <w:pPr>
        <w:pStyle w:val="Heading2"/>
        <w:tabs>
          <w:tab w:val="center" w:pos="3262"/>
        </w:tabs>
        <w:ind w:left="1" w:firstLine="0"/>
        <w:jc w:val="both"/>
        <w:rPr>
          <w:b w:val="0"/>
          <w:sz w:val="24"/>
          <w:szCs w:val="24"/>
        </w:rPr>
      </w:pPr>
      <w:r w:rsidRPr="00EA0946">
        <w:rPr>
          <w:b w:val="0"/>
          <w:sz w:val="24"/>
          <w:szCs w:val="24"/>
        </w:rPr>
        <w:t xml:space="preserve">In any emergency the priority will be </w:t>
      </w:r>
      <w:r w:rsidR="00F6533F">
        <w:rPr>
          <w:b w:val="0"/>
          <w:sz w:val="24"/>
          <w:szCs w:val="24"/>
        </w:rPr>
        <w:t>to secure alternative accommodation for the te</w:t>
      </w:r>
      <w:r w:rsidR="00595687" w:rsidRPr="00EA0946">
        <w:rPr>
          <w:b w:val="0"/>
          <w:sz w:val="24"/>
          <w:szCs w:val="24"/>
        </w:rPr>
        <w:t>nant</w:t>
      </w:r>
      <w:r w:rsidRPr="00EA0946">
        <w:rPr>
          <w:b w:val="0"/>
          <w:sz w:val="24"/>
          <w:szCs w:val="24"/>
        </w:rPr>
        <w:t xml:space="preserve"> affected. Once this has been resolved</w:t>
      </w:r>
      <w:r w:rsidR="00595687" w:rsidRPr="00EA0946">
        <w:rPr>
          <w:b w:val="0"/>
          <w:sz w:val="24"/>
          <w:szCs w:val="24"/>
        </w:rPr>
        <w:t>,</w:t>
      </w:r>
      <w:r w:rsidRPr="00EA0946">
        <w:rPr>
          <w:b w:val="0"/>
          <w:sz w:val="24"/>
          <w:szCs w:val="24"/>
        </w:rPr>
        <w:t xml:space="preserve"> a full assessment </w:t>
      </w:r>
      <w:r w:rsidR="00595687" w:rsidRPr="00EA0946">
        <w:rPr>
          <w:b w:val="0"/>
          <w:sz w:val="24"/>
          <w:szCs w:val="24"/>
        </w:rPr>
        <w:t xml:space="preserve">of the work required at the property and the </w:t>
      </w:r>
      <w:r w:rsidR="00E130C7" w:rsidRPr="00EA0946">
        <w:rPr>
          <w:b w:val="0"/>
          <w:sz w:val="24"/>
          <w:szCs w:val="24"/>
        </w:rPr>
        <w:t xml:space="preserve">future </w:t>
      </w:r>
      <w:r w:rsidR="00595687" w:rsidRPr="00EA0946">
        <w:rPr>
          <w:b w:val="0"/>
          <w:sz w:val="24"/>
          <w:szCs w:val="24"/>
        </w:rPr>
        <w:t xml:space="preserve">housing requirements of the tenant will be conducted. </w:t>
      </w:r>
      <w:r w:rsidRPr="00EA0946">
        <w:rPr>
          <w:b w:val="0"/>
          <w:sz w:val="24"/>
          <w:szCs w:val="24"/>
        </w:rPr>
        <w:t xml:space="preserve"> </w:t>
      </w:r>
    </w:p>
    <w:p w14:paraId="7A0E4AA0" w14:textId="0F5D29D4" w:rsidR="000705D1" w:rsidRPr="00EA0946" w:rsidRDefault="000705D1" w:rsidP="008B326F">
      <w:pPr>
        <w:pStyle w:val="Heading2"/>
        <w:tabs>
          <w:tab w:val="center" w:pos="3262"/>
        </w:tabs>
        <w:ind w:left="-13" w:firstLine="0"/>
        <w:jc w:val="both"/>
        <w:rPr>
          <w:b w:val="0"/>
          <w:sz w:val="24"/>
          <w:szCs w:val="24"/>
        </w:rPr>
      </w:pPr>
      <w:r w:rsidRPr="00EA0946">
        <w:rPr>
          <w:b w:val="0"/>
          <w:sz w:val="24"/>
          <w:szCs w:val="24"/>
        </w:rPr>
        <w:t>Each case will be reviewed on an individual basis</w:t>
      </w:r>
      <w:r w:rsidR="0078382B">
        <w:rPr>
          <w:b w:val="0"/>
          <w:sz w:val="24"/>
          <w:szCs w:val="24"/>
        </w:rPr>
        <w:t>,</w:t>
      </w:r>
      <w:r w:rsidRPr="00EA0946">
        <w:rPr>
          <w:b w:val="0"/>
          <w:sz w:val="24"/>
          <w:szCs w:val="24"/>
        </w:rPr>
        <w:t xml:space="preserve"> to ensure appropriate steps have been taken to address the </w:t>
      </w:r>
      <w:r w:rsidR="00595687" w:rsidRPr="00EA0946">
        <w:rPr>
          <w:b w:val="0"/>
          <w:sz w:val="24"/>
          <w:szCs w:val="24"/>
        </w:rPr>
        <w:t>tenant’s</w:t>
      </w:r>
      <w:r w:rsidRPr="00EA0946">
        <w:rPr>
          <w:b w:val="0"/>
          <w:sz w:val="24"/>
          <w:szCs w:val="24"/>
        </w:rPr>
        <w:t xml:space="preserve"> needs and that suitable alternative accommodation has been found. Whilst </w:t>
      </w:r>
      <w:r w:rsidR="00F323BA" w:rsidRPr="00EA0946">
        <w:rPr>
          <w:b w:val="0"/>
          <w:sz w:val="24"/>
          <w:szCs w:val="24"/>
        </w:rPr>
        <w:t>ADC</w:t>
      </w:r>
      <w:r w:rsidRPr="00EA0946">
        <w:rPr>
          <w:b w:val="0"/>
          <w:sz w:val="24"/>
          <w:szCs w:val="24"/>
        </w:rPr>
        <w:t xml:space="preserve"> </w:t>
      </w:r>
      <w:r w:rsidR="00F323BA" w:rsidRPr="00EA0946">
        <w:rPr>
          <w:b w:val="0"/>
          <w:sz w:val="24"/>
          <w:szCs w:val="24"/>
        </w:rPr>
        <w:t xml:space="preserve">will </w:t>
      </w:r>
      <w:r w:rsidRPr="00EA0946">
        <w:rPr>
          <w:b w:val="0"/>
          <w:sz w:val="24"/>
          <w:szCs w:val="24"/>
        </w:rPr>
        <w:t xml:space="preserve">consider factors such as schools, place of employment etc, </w:t>
      </w:r>
      <w:r w:rsidR="00F323BA" w:rsidRPr="00EA0946">
        <w:rPr>
          <w:b w:val="0"/>
          <w:sz w:val="24"/>
          <w:szCs w:val="24"/>
        </w:rPr>
        <w:t xml:space="preserve">there </w:t>
      </w:r>
      <w:r w:rsidRPr="00EA0946">
        <w:rPr>
          <w:b w:val="0"/>
          <w:sz w:val="24"/>
          <w:szCs w:val="24"/>
        </w:rPr>
        <w:t xml:space="preserve">cannot </w:t>
      </w:r>
      <w:r w:rsidR="00F455CC" w:rsidRPr="00EA0946">
        <w:rPr>
          <w:b w:val="0"/>
          <w:sz w:val="24"/>
          <w:szCs w:val="24"/>
        </w:rPr>
        <w:t xml:space="preserve">be a </w:t>
      </w:r>
      <w:r w:rsidRPr="00EA0946">
        <w:rPr>
          <w:b w:val="0"/>
          <w:sz w:val="24"/>
          <w:szCs w:val="24"/>
        </w:rPr>
        <w:t xml:space="preserve">guarantee that the emergency accommodation provided will meet all requirements. </w:t>
      </w:r>
      <w:r w:rsidR="00E130C7" w:rsidRPr="00EA0946">
        <w:rPr>
          <w:b w:val="0"/>
          <w:sz w:val="24"/>
          <w:szCs w:val="24"/>
        </w:rPr>
        <w:t>Similarly, ADC will do as much as possible to meet the needs of disabled tenants and those in need of an adapted home</w:t>
      </w:r>
      <w:r w:rsidR="004C41E8" w:rsidRPr="00EA0946">
        <w:rPr>
          <w:b w:val="0"/>
          <w:sz w:val="24"/>
          <w:szCs w:val="24"/>
        </w:rPr>
        <w:t>,</w:t>
      </w:r>
      <w:r w:rsidR="00B864F0" w:rsidRPr="00EA0946">
        <w:rPr>
          <w:b w:val="0"/>
          <w:sz w:val="24"/>
          <w:szCs w:val="24"/>
        </w:rPr>
        <w:t xml:space="preserve"> but</w:t>
      </w:r>
      <w:r w:rsidR="00E130C7" w:rsidRPr="00EA0946">
        <w:rPr>
          <w:b w:val="0"/>
          <w:sz w:val="24"/>
          <w:szCs w:val="24"/>
        </w:rPr>
        <w:t xml:space="preserve"> compromise may be required </w:t>
      </w:r>
      <w:r w:rsidR="00B864F0" w:rsidRPr="00EA0946">
        <w:rPr>
          <w:b w:val="0"/>
          <w:sz w:val="24"/>
          <w:szCs w:val="24"/>
        </w:rPr>
        <w:t xml:space="preserve">on the grounds of </w:t>
      </w:r>
      <w:r w:rsidR="00E130C7" w:rsidRPr="00EA0946">
        <w:rPr>
          <w:b w:val="0"/>
          <w:sz w:val="24"/>
          <w:szCs w:val="24"/>
        </w:rPr>
        <w:t xml:space="preserve">urgency. </w:t>
      </w:r>
    </w:p>
    <w:p w14:paraId="08C11F68" w14:textId="5BA8EEF8" w:rsidR="000705D1" w:rsidRPr="00EA0946" w:rsidRDefault="000705D1" w:rsidP="008B326F">
      <w:pPr>
        <w:pStyle w:val="Heading2"/>
        <w:tabs>
          <w:tab w:val="center" w:pos="3262"/>
        </w:tabs>
        <w:ind w:left="-13" w:firstLine="0"/>
        <w:jc w:val="both"/>
        <w:rPr>
          <w:b w:val="0"/>
          <w:sz w:val="24"/>
          <w:szCs w:val="24"/>
        </w:rPr>
      </w:pPr>
      <w:r w:rsidRPr="00EA0946">
        <w:rPr>
          <w:b w:val="0"/>
          <w:sz w:val="24"/>
          <w:szCs w:val="24"/>
        </w:rPr>
        <w:t xml:space="preserve">Rent </w:t>
      </w:r>
      <w:r w:rsidR="003D4DD3" w:rsidRPr="00EA0946">
        <w:rPr>
          <w:b w:val="0"/>
          <w:sz w:val="24"/>
          <w:szCs w:val="24"/>
        </w:rPr>
        <w:t xml:space="preserve">and service charges </w:t>
      </w:r>
      <w:r w:rsidRPr="00EA0946">
        <w:rPr>
          <w:b w:val="0"/>
          <w:sz w:val="24"/>
          <w:szCs w:val="24"/>
        </w:rPr>
        <w:t xml:space="preserve">on the </w:t>
      </w:r>
      <w:r w:rsidR="003D4DD3" w:rsidRPr="00EA0946">
        <w:rPr>
          <w:b w:val="0"/>
          <w:sz w:val="24"/>
          <w:szCs w:val="24"/>
        </w:rPr>
        <w:t xml:space="preserve">permanent </w:t>
      </w:r>
      <w:r w:rsidR="00C8042D" w:rsidRPr="00EA0946">
        <w:rPr>
          <w:b w:val="0"/>
          <w:sz w:val="24"/>
          <w:szCs w:val="24"/>
        </w:rPr>
        <w:t>tenanted</w:t>
      </w:r>
      <w:r w:rsidRPr="00EA0946">
        <w:rPr>
          <w:b w:val="0"/>
          <w:sz w:val="24"/>
          <w:szCs w:val="24"/>
        </w:rPr>
        <w:t xml:space="preserve"> home needs to continue to be paid as ADC is still providing accommodation. If the </w:t>
      </w:r>
      <w:r w:rsidR="00C8042D" w:rsidRPr="00EA0946">
        <w:rPr>
          <w:b w:val="0"/>
          <w:sz w:val="24"/>
          <w:szCs w:val="24"/>
        </w:rPr>
        <w:t>tenant</w:t>
      </w:r>
      <w:r w:rsidRPr="00EA0946">
        <w:rPr>
          <w:b w:val="0"/>
          <w:sz w:val="24"/>
          <w:szCs w:val="24"/>
        </w:rPr>
        <w:t xml:space="preserve"> does not pay the rent</w:t>
      </w:r>
      <w:r w:rsidR="003D4DD3" w:rsidRPr="00EA0946">
        <w:rPr>
          <w:b w:val="0"/>
          <w:sz w:val="24"/>
          <w:szCs w:val="24"/>
        </w:rPr>
        <w:t xml:space="preserve"> and service charges</w:t>
      </w:r>
      <w:r w:rsidR="00C8042D" w:rsidRPr="00EA0946">
        <w:rPr>
          <w:b w:val="0"/>
          <w:sz w:val="24"/>
          <w:szCs w:val="24"/>
        </w:rPr>
        <w:t>,</w:t>
      </w:r>
      <w:r w:rsidRPr="00EA0946">
        <w:rPr>
          <w:b w:val="0"/>
          <w:sz w:val="24"/>
          <w:szCs w:val="24"/>
        </w:rPr>
        <w:t xml:space="preserve"> ADC may take tenancy action on the grounds of non</w:t>
      </w:r>
      <w:r w:rsidR="006B5196" w:rsidRPr="00EA0946">
        <w:rPr>
          <w:b w:val="0"/>
          <w:sz w:val="24"/>
          <w:szCs w:val="24"/>
        </w:rPr>
        <w:t>-</w:t>
      </w:r>
      <w:r w:rsidRPr="00EA0946">
        <w:rPr>
          <w:b w:val="0"/>
          <w:sz w:val="24"/>
          <w:szCs w:val="24"/>
        </w:rPr>
        <w:t xml:space="preserve">payment of rent. </w:t>
      </w:r>
      <w:r w:rsidR="00B618CD" w:rsidRPr="00EA0946">
        <w:rPr>
          <w:b w:val="0"/>
          <w:sz w:val="24"/>
          <w:szCs w:val="24"/>
        </w:rPr>
        <w:t>Rent will not be due on the decant property whilst there is an intention for the</w:t>
      </w:r>
      <w:r w:rsidR="00C8042D" w:rsidRPr="00EA0946">
        <w:rPr>
          <w:b w:val="0"/>
          <w:sz w:val="24"/>
          <w:szCs w:val="24"/>
        </w:rPr>
        <w:t xml:space="preserve"> tenant</w:t>
      </w:r>
      <w:r w:rsidR="00B618CD" w:rsidRPr="00EA0946">
        <w:rPr>
          <w:b w:val="0"/>
          <w:sz w:val="24"/>
          <w:szCs w:val="24"/>
        </w:rPr>
        <w:t xml:space="preserve"> to return to their tenanted home. </w:t>
      </w:r>
    </w:p>
    <w:p w14:paraId="45BC582E" w14:textId="041A6058" w:rsidR="006D1CF8" w:rsidRPr="00EA0946" w:rsidRDefault="004C41E8" w:rsidP="008B326F">
      <w:pPr>
        <w:rPr>
          <w:sz w:val="24"/>
          <w:szCs w:val="24"/>
        </w:rPr>
      </w:pPr>
      <w:r w:rsidRPr="00EA0946">
        <w:rPr>
          <w:sz w:val="24"/>
          <w:szCs w:val="24"/>
        </w:rPr>
        <w:t>Similarly, t</w:t>
      </w:r>
      <w:r w:rsidR="006D1CF8" w:rsidRPr="00EA0946">
        <w:rPr>
          <w:sz w:val="24"/>
          <w:szCs w:val="24"/>
        </w:rPr>
        <w:t>he tenant will continue to be liable for other charges, such as water, gas</w:t>
      </w:r>
      <w:r w:rsidRPr="00EA0946">
        <w:rPr>
          <w:sz w:val="24"/>
          <w:szCs w:val="24"/>
        </w:rPr>
        <w:t>,</w:t>
      </w:r>
      <w:r w:rsidR="006D1CF8" w:rsidRPr="00EA0946">
        <w:rPr>
          <w:sz w:val="24"/>
          <w:szCs w:val="24"/>
        </w:rPr>
        <w:t xml:space="preserve"> electricity, broadband, etc</w:t>
      </w:r>
      <w:r w:rsidRPr="00EA0946">
        <w:rPr>
          <w:sz w:val="24"/>
          <w:szCs w:val="24"/>
        </w:rPr>
        <w:t>, at their permanent tenanted home</w:t>
      </w:r>
      <w:r w:rsidR="006D1CF8" w:rsidRPr="00EA0946">
        <w:rPr>
          <w:sz w:val="24"/>
          <w:szCs w:val="24"/>
        </w:rPr>
        <w:t xml:space="preserve">. </w:t>
      </w:r>
      <w:r w:rsidRPr="00EA0946">
        <w:rPr>
          <w:sz w:val="24"/>
          <w:szCs w:val="24"/>
        </w:rPr>
        <w:t>ADC will cover reasonable</w:t>
      </w:r>
      <w:r w:rsidR="003766D9" w:rsidRPr="00EA0946">
        <w:rPr>
          <w:sz w:val="24"/>
          <w:szCs w:val="24"/>
        </w:rPr>
        <w:t xml:space="preserve"> additional</w:t>
      </w:r>
      <w:r w:rsidRPr="00EA0946">
        <w:rPr>
          <w:sz w:val="24"/>
          <w:szCs w:val="24"/>
        </w:rPr>
        <w:t xml:space="preserve"> costs in the decant property. </w:t>
      </w:r>
    </w:p>
    <w:p w14:paraId="30BF1AE7" w14:textId="38F0A74C" w:rsidR="00B618CD" w:rsidRPr="00EA0946" w:rsidRDefault="00B618CD" w:rsidP="006664C4">
      <w:pPr>
        <w:rPr>
          <w:sz w:val="24"/>
          <w:szCs w:val="24"/>
        </w:rPr>
      </w:pPr>
      <w:r w:rsidRPr="00EA0946">
        <w:rPr>
          <w:sz w:val="24"/>
          <w:szCs w:val="24"/>
        </w:rPr>
        <w:t>In exceptional circumstances, such as when repairs are likely to take a longer time to complete than anticipated</w:t>
      </w:r>
      <w:r w:rsidR="003766D9" w:rsidRPr="00EA0946">
        <w:rPr>
          <w:sz w:val="24"/>
          <w:szCs w:val="24"/>
        </w:rPr>
        <w:t xml:space="preserve"> and the property is an appropriate accommodation match</w:t>
      </w:r>
      <w:r w:rsidRPr="00EA0946">
        <w:rPr>
          <w:sz w:val="24"/>
          <w:szCs w:val="24"/>
        </w:rPr>
        <w:t xml:space="preserve">, consideration may be given to allowing the tenant to remain in the decant property on a permanent basis. This would be a voluntary arrangement, at the request of the tenant and with the approval of </w:t>
      </w:r>
      <w:r w:rsidR="00B864F0" w:rsidRPr="00EA0946">
        <w:rPr>
          <w:sz w:val="24"/>
          <w:szCs w:val="24"/>
        </w:rPr>
        <w:t xml:space="preserve">the </w:t>
      </w:r>
      <w:r w:rsidRPr="00EA0946">
        <w:rPr>
          <w:sz w:val="24"/>
          <w:szCs w:val="24"/>
        </w:rPr>
        <w:t xml:space="preserve">appropriate ADC </w:t>
      </w:r>
      <w:r w:rsidR="00C8042D" w:rsidRPr="00EA0946">
        <w:rPr>
          <w:sz w:val="24"/>
          <w:szCs w:val="24"/>
        </w:rPr>
        <w:t xml:space="preserve">Executive </w:t>
      </w:r>
      <w:r w:rsidRPr="00EA0946">
        <w:rPr>
          <w:sz w:val="24"/>
          <w:szCs w:val="24"/>
        </w:rPr>
        <w:t xml:space="preserve">Director. </w:t>
      </w:r>
    </w:p>
    <w:p w14:paraId="39BDEDA2" w14:textId="333BAFAB" w:rsidR="000C3082" w:rsidRPr="00EA0946" w:rsidRDefault="00B864F0" w:rsidP="006B5196">
      <w:pPr>
        <w:pStyle w:val="Heading2"/>
        <w:numPr>
          <w:ilvl w:val="0"/>
          <w:numId w:val="21"/>
        </w:numPr>
        <w:tabs>
          <w:tab w:val="center" w:pos="3262"/>
        </w:tabs>
        <w:rPr>
          <w:sz w:val="24"/>
          <w:szCs w:val="24"/>
        </w:rPr>
      </w:pPr>
      <w:r w:rsidRPr="00EA0946">
        <w:rPr>
          <w:sz w:val="24"/>
          <w:szCs w:val="24"/>
        </w:rPr>
        <w:t xml:space="preserve">Planned </w:t>
      </w:r>
      <w:r w:rsidR="00B618CD" w:rsidRPr="00EA0946">
        <w:rPr>
          <w:sz w:val="24"/>
          <w:szCs w:val="24"/>
        </w:rPr>
        <w:t>(</w:t>
      </w:r>
      <w:r w:rsidR="002D27EF" w:rsidRPr="00EA0946">
        <w:rPr>
          <w:sz w:val="24"/>
          <w:szCs w:val="24"/>
        </w:rPr>
        <w:t>Temporary</w:t>
      </w:r>
      <w:r w:rsidR="00B618CD" w:rsidRPr="00EA0946">
        <w:rPr>
          <w:sz w:val="24"/>
          <w:szCs w:val="24"/>
        </w:rPr>
        <w:t>)</w:t>
      </w:r>
      <w:r w:rsidR="002D27EF" w:rsidRPr="00EA0946">
        <w:rPr>
          <w:sz w:val="24"/>
          <w:szCs w:val="24"/>
        </w:rPr>
        <w:t xml:space="preserve"> Decant   </w:t>
      </w:r>
    </w:p>
    <w:p w14:paraId="73F27A77" w14:textId="1EEC82A4" w:rsidR="00A17A72" w:rsidRPr="00EA0946" w:rsidRDefault="00A17A72" w:rsidP="00A17A72">
      <w:pPr>
        <w:rPr>
          <w:sz w:val="24"/>
          <w:szCs w:val="24"/>
        </w:rPr>
      </w:pPr>
      <w:r w:rsidRPr="00EA0946">
        <w:rPr>
          <w:sz w:val="24"/>
          <w:szCs w:val="24"/>
        </w:rPr>
        <w:t>It may be necessary to move tenants temporarily whilst works are being carried out. An example of works include:</w:t>
      </w:r>
    </w:p>
    <w:p w14:paraId="506AC740" w14:textId="435AE9CF" w:rsidR="00A17A72" w:rsidRPr="00EA0946" w:rsidRDefault="00A17A72" w:rsidP="00A17A72">
      <w:pPr>
        <w:pStyle w:val="ListParagraph"/>
        <w:numPr>
          <w:ilvl w:val="0"/>
          <w:numId w:val="31"/>
        </w:numPr>
        <w:rPr>
          <w:sz w:val="24"/>
          <w:szCs w:val="24"/>
        </w:rPr>
      </w:pPr>
      <w:r w:rsidRPr="00EA0946">
        <w:rPr>
          <w:sz w:val="24"/>
          <w:szCs w:val="24"/>
        </w:rPr>
        <w:t>Extensive works to multiple rooms</w:t>
      </w:r>
    </w:p>
    <w:p w14:paraId="482BDC3A" w14:textId="743FF75F" w:rsidR="00A17A72" w:rsidRPr="00EA0946" w:rsidRDefault="00A17A72" w:rsidP="00A17A72">
      <w:pPr>
        <w:pStyle w:val="ListParagraph"/>
        <w:numPr>
          <w:ilvl w:val="0"/>
          <w:numId w:val="31"/>
        </w:numPr>
        <w:rPr>
          <w:sz w:val="24"/>
          <w:szCs w:val="24"/>
        </w:rPr>
      </w:pPr>
      <w:r w:rsidRPr="00EA0946">
        <w:rPr>
          <w:sz w:val="24"/>
          <w:szCs w:val="24"/>
        </w:rPr>
        <w:t>Severe flood damage</w:t>
      </w:r>
    </w:p>
    <w:p w14:paraId="07AFC148" w14:textId="42E9BECB" w:rsidR="00A17A72" w:rsidRPr="00EA0946" w:rsidRDefault="00A17A72" w:rsidP="006664C4">
      <w:pPr>
        <w:pStyle w:val="ListParagraph"/>
        <w:numPr>
          <w:ilvl w:val="0"/>
          <w:numId w:val="31"/>
        </w:numPr>
        <w:rPr>
          <w:sz w:val="24"/>
          <w:szCs w:val="24"/>
        </w:rPr>
      </w:pPr>
      <w:r w:rsidRPr="00EA0946">
        <w:rPr>
          <w:sz w:val="24"/>
          <w:szCs w:val="24"/>
        </w:rPr>
        <w:t>Repairs to structurally unsafe property or unable to live in the property safely whilst works are being carried out.</w:t>
      </w:r>
    </w:p>
    <w:p w14:paraId="4BC90E00" w14:textId="7FF783F9" w:rsidR="00D941CF" w:rsidRPr="00EA0946" w:rsidRDefault="002D27EF">
      <w:pPr>
        <w:ind w:left="-3" w:right="0"/>
        <w:rPr>
          <w:sz w:val="24"/>
          <w:szCs w:val="24"/>
        </w:rPr>
      </w:pPr>
      <w:r w:rsidRPr="00EA0946">
        <w:rPr>
          <w:sz w:val="24"/>
          <w:szCs w:val="24"/>
        </w:rPr>
        <w:lastRenderedPageBreak/>
        <w:t>Where planned repair work</w:t>
      </w:r>
      <w:r w:rsidR="00B864F0" w:rsidRPr="00EA0946">
        <w:rPr>
          <w:sz w:val="24"/>
          <w:szCs w:val="24"/>
        </w:rPr>
        <w:t xml:space="preserve"> </w:t>
      </w:r>
      <w:r w:rsidRPr="00EA0946">
        <w:rPr>
          <w:sz w:val="24"/>
          <w:szCs w:val="24"/>
        </w:rPr>
        <w:t xml:space="preserve">is required that cannot be carried out with the </w:t>
      </w:r>
      <w:r w:rsidR="006B5196" w:rsidRPr="00EA0946">
        <w:rPr>
          <w:sz w:val="24"/>
          <w:szCs w:val="24"/>
        </w:rPr>
        <w:t>tenant</w:t>
      </w:r>
      <w:r w:rsidRPr="00EA0946">
        <w:rPr>
          <w:sz w:val="24"/>
          <w:szCs w:val="24"/>
        </w:rPr>
        <w:t xml:space="preserve"> in situ, but does not require the</w:t>
      </w:r>
      <w:r w:rsidR="006B5196" w:rsidRPr="00EA0946">
        <w:rPr>
          <w:sz w:val="24"/>
          <w:szCs w:val="24"/>
        </w:rPr>
        <w:t>m</w:t>
      </w:r>
      <w:r w:rsidRPr="00EA0946">
        <w:rPr>
          <w:sz w:val="24"/>
          <w:szCs w:val="24"/>
        </w:rPr>
        <w:t xml:space="preserve"> to leave immediately, temporary alternative accommodation will be arranged </w:t>
      </w:r>
      <w:r w:rsidR="002E3FF0" w:rsidRPr="00EA0946">
        <w:rPr>
          <w:sz w:val="24"/>
          <w:szCs w:val="24"/>
        </w:rPr>
        <w:t>prior to the work being undertaken.</w:t>
      </w:r>
      <w:r w:rsidRPr="00EA0946">
        <w:rPr>
          <w:sz w:val="24"/>
          <w:szCs w:val="24"/>
        </w:rPr>
        <w:t xml:space="preserve"> In determining the type of accommodation to be used, consideration will be given to the likely time to complete the repair, the availability of suitable accommodation and the relative cost of each option.</w:t>
      </w:r>
      <w:r w:rsidR="00D941CF" w:rsidRPr="00EA0946">
        <w:rPr>
          <w:sz w:val="24"/>
          <w:szCs w:val="24"/>
        </w:rPr>
        <w:t xml:space="preserve"> </w:t>
      </w:r>
    </w:p>
    <w:p w14:paraId="4652333F" w14:textId="0063BED7" w:rsidR="000C3082" w:rsidRPr="00EA0946" w:rsidRDefault="00D941CF">
      <w:pPr>
        <w:ind w:left="-3" w:right="0"/>
        <w:rPr>
          <w:sz w:val="24"/>
          <w:szCs w:val="24"/>
        </w:rPr>
      </w:pPr>
      <w:r w:rsidRPr="00EA0946">
        <w:rPr>
          <w:sz w:val="24"/>
          <w:szCs w:val="24"/>
        </w:rPr>
        <w:t xml:space="preserve">Consideration will be given to the tenant’s needs and factors such as such as schools, places of employment etc, will be taken into account. Whilst </w:t>
      </w:r>
      <w:r w:rsidR="00F323BA" w:rsidRPr="00EA0946">
        <w:rPr>
          <w:sz w:val="24"/>
          <w:szCs w:val="24"/>
        </w:rPr>
        <w:t>ADC</w:t>
      </w:r>
      <w:r w:rsidRPr="00EA0946">
        <w:rPr>
          <w:sz w:val="24"/>
          <w:szCs w:val="24"/>
        </w:rPr>
        <w:t xml:space="preserve"> will be better placed to meet needs </w:t>
      </w:r>
      <w:r w:rsidR="00B618CD" w:rsidRPr="00EA0946">
        <w:rPr>
          <w:sz w:val="24"/>
          <w:szCs w:val="24"/>
        </w:rPr>
        <w:t xml:space="preserve">compared to </w:t>
      </w:r>
      <w:r w:rsidRPr="00EA0946">
        <w:rPr>
          <w:sz w:val="24"/>
          <w:szCs w:val="24"/>
        </w:rPr>
        <w:t xml:space="preserve">an emergency decant, </w:t>
      </w:r>
      <w:r w:rsidR="00F323BA" w:rsidRPr="00EA0946">
        <w:rPr>
          <w:sz w:val="24"/>
          <w:szCs w:val="24"/>
        </w:rPr>
        <w:t>ADC</w:t>
      </w:r>
      <w:r w:rsidRPr="00EA0946">
        <w:rPr>
          <w:sz w:val="24"/>
          <w:szCs w:val="24"/>
        </w:rPr>
        <w:t xml:space="preserve"> cannot guarantee that the accommodation provided will meet all requirements.</w:t>
      </w:r>
    </w:p>
    <w:p w14:paraId="5A84D818" w14:textId="77777777" w:rsidR="000C3082" w:rsidRPr="00EA0946" w:rsidRDefault="002D27EF">
      <w:pPr>
        <w:ind w:left="-3" w:right="0"/>
        <w:rPr>
          <w:sz w:val="24"/>
          <w:szCs w:val="24"/>
        </w:rPr>
      </w:pPr>
      <w:r w:rsidRPr="00EA0946">
        <w:rPr>
          <w:sz w:val="24"/>
          <w:szCs w:val="24"/>
        </w:rPr>
        <w:t xml:space="preserve">Options that will be considered for temporary accommodation will include:   </w:t>
      </w:r>
    </w:p>
    <w:p w14:paraId="6E73FE0B" w14:textId="7C3ECC54" w:rsidR="0078382B" w:rsidRPr="00EA0946" w:rsidRDefault="0078382B" w:rsidP="0078382B">
      <w:pPr>
        <w:pStyle w:val="Heading2"/>
        <w:tabs>
          <w:tab w:val="center" w:pos="3262"/>
        </w:tabs>
        <w:ind w:left="361" w:firstLine="0"/>
        <w:rPr>
          <w:b w:val="0"/>
          <w:sz w:val="24"/>
          <w:szCs w:val="24"/>
        </w:rPr>
      </w:pPr>
      <w:r w:rsidRPr="00EA0946">
        <w:rPr>
          <w:b w:val="0"/>
          <w:sz w:val="24"/>
          <w:szCs w:val="24"/>
        </w:rPr>
        <w:t>- Encouraging them to stay with friends or family</w:t>
      </w:r>
      <w:r w:rsidRPr="00EA0946">
        <w:rPr>
          <w:b w:val="0"/>
          <w:sz w:val="24"/>
          <w:szCs w:val="24"/>
        </w:rPr>
        <w:br/>
        <w:t xml:space="preserve">- Sourcing Bed and breakfast / hotel type accommodation (board only) </w:t>
      </w:r>
      <w:r w:rsidRPr="00EA0946">
        <w:rPr>
          <w:b w:val="0"/>
          <w:sz w:val="24"/>
          <w:szCs w:val="24"/>
        </w:rPr>
        <w:br/>
        <w:t xml:space="preserve">- Sourcing alternative ADC accommodation </w:t>
      </w:r>
      <w:r w:rsidRPr="00EA0946">
        <w:rPr>
          <w:b w:val="0"/>
          <w:sz w:val="24"/>
          <w:szCs w:val="24"/>
        </w:rPr>
        <w:br/>
        <w:t xml:space="preserve">- Sourcing private rental accommodation </w:t>
      </w:r>
    </w:p>
    <w:p w14:paraId="56C23220" w14:textId="7D6D2F0E" w:rsidR="000C3082" w:rsidRPr="00EA0946" w:rsidRDefault="00B618CD">
      <w:pPr>
        <w:ind w:left="-3" w:right="0"/>
        <w:rPr>
          <w:sz w:val="24"/>
          <w:szCs w:val="24"/>
        </w:rPr>
      </w:pPr>
      <w:r w:rsidRPr="00EA0946">
        <w:rPr>
          <w:sz w:val="24"/>
          <w:szCs w:val="24"/>
        </w:rPr>
        <w:t>T</w:t>
      </w:r>
      <w:r w:rsidR="002D27EF" w:rsidRPr="00EA0946">
        <w:rPr>
          <w:sz w:val="24"/>
          <w:szCs w:val="24"/>
        </w:rPr>
        <w:t>he move will only last as long as it takes to complete the repair works</w:t>
      </w:r>
      <w:r w:rsidR="005930DC" w:rsidRPr="00EA0946">
        <w:rPr>
          <w:sz w:val="24"/>
          <w:szCs w:val="24"/>
        </w:rPr>
        <w:t xml:space="preserve"> back to a habitable standard</w:t>
      </w:r>
      <w:r w:rsidR="002D27EF" w:rsidRPr="00EA0946">
        <w:rPr>
          <w:sz w:val="24"/>
          <w:szCs w:val="24"/>
        </w:rPr>
        <w:t xml:space="preserve">. </w:t>
      </w:r>
    </w:p>
    <w:p w14:paraId="44119480" w14:textId="77777777" w:rsidR="00882D93" w:rsidRPr="00EA0946" w:rsidRDefault="00D941CF">
      <w:pPr>
        <w:ind w:left="-3" w:right="0"/>
        <w:rPr>
          <w:sz w:val="24"/>
          <w:szCs w:val="24"/>
        </w:rPr>
      </w:pPr>
      <w:r w:rsidRPr="00EA0946">
        <w:rPr>
          <w:sz w:val="24"/>
          <w:szCs w:val="24"/>
        </w:rPr>
        <w:t>Where required, ADC will assist in respect of the relocation, including helping to move essential items and making minor adaptations to make the decant property suitable, such as installing grab rails or a temporary ramp.</w:t>
      </w:r>
    </w:p>
    <w:p w14:paraId="49B393DF" w14:textId="4C3EB9E8" w:rsidR="00BD10FE" w:rsidRPr="00EA0946" w:rsidRDefault="00BD10FE" w:rsidP="008B326F">
      <w:pPr>
        <w:pStyle w:val="Heading2"/>
        <w:tabs>
          <w:tab w:val="center" w:pos="3262"/>
        </w:tabs>
        <w:ind w:left="-13" w:firstLine="0"/>
        <w:jc w:val="both"/>
        <w:rPr>
          <w:b w:val="0"/>
          <w:sz w:val="24"/>
          <w:szCs w:val="24"/>
        </w:rPr>
      </w:pPr>
      <w:r w:rsidRPr="00EA0946">
        <w:rPr>
          <w:b w:val="0"/>
          <w:sz w:val="24"/>
          <w:szCs w:val="24"/>
        </w:rPr>
        <w:t>Rent</w:t>
      </w:r>
      <w:r w:rsidR="003D4DD3" w:rsidRPr="00EA0946">
        <w:rPr>
          <w:b w:val="0"/>
          <w:sz w:val="24"/>
          <w:szCs w:val="24"/>
        </w:rPr>
        <w:t xml:space="preserve"> and service charges </w:t>
      </w:r>
      <w:r w:rsidRPr="00EA0946">
        <w:rPr>
          <w:b w:val="0"/>
          <w:sz w:val="24"/>
          <w:szCs w:val="24"/>
        </w:rPr>
        <w:t xml:space="preserve">on the </w:t>
      </w:r>
      <w:r w:rsidR="003D4DD3" w:rsidRPr="00EA0946">
        <w:rPr>
          <w:b w:val="0"/>
          <w:sz w:val="24"/>
          <w:szCs w:val="24"/>
        </w:rPr>
        <w:t xml:space="preserve">permanent </w:t>
      </w:r>
      <w:r w:rsidRPr="00EA0946">
        <w:rPr>
          <w:b w:val="0"/>
          <w:sz w:val="24"/>
          <w:szCs w:val="24"/>
        </w:rPr>
        <w:t>tenanted home needs to continue to be paid as ADC is still providing accommodation. If the tenant does not pay the rent</w:t>
      </w:r>
      <w:r w:rsidR="003D4DD3" w:rsidRPr="00EA0946">
        <w:rPr>
          <w:b w:val="0"/>
          <w:sz w:val="24"/>
          <w:szCs w:val="24"/>
        </w:rPr>
        <w:t xml:space="preserve"> and service charges</w:t>
      </w:r>
      <w:r w:rsidRPr="00EA0946">
        <w:rPr>
          <w:b w:val="0"/>
          <w:sz w:val="24"/>
          <w:szCs w:val="24"/>
        </w:rPr>
        <w:t xml:space="preserve">, ADC may take tenancy action on the grounds of non-payment of rent. Rent will not be due on the decant property whilst there is an intention for the tenant to return to their tenanted home. </w:t>
      </w:r>
    </w:p>
    <w:p w14:paraId="363E7866" w14:textId="2ED1BB4C" w:rsidR="004C41E8" w:rsidRPr="00EA0946" w:rsidRDefault="004C41E8" w:rsidP="008B326F">
      <w:pPr>
        <w:rPr>
          <w:sz w:val="24"/>
          <w:szCs w:val="24"/>
        </w:rPr>
      </w:pPr>
      <w:r w:rsidRPr="00EA0946">
        <w:rPr>
          <w:sz w:val="24"/>
          <w:szCs w:val="24"/>
        </w:rPr>
        <w:t xml:space="preserve">Similarly, the tenant will continue to be liable for other charges, such as water, gas, electricity, broadband, etc, at their permanent tenanted home. ADC will cover </w:t>
      </w:r>
      <w:r w:rsidR="005930DC" w:rsidRPr="00EA0946">
        <w:rPr>
          <w:sz w:val="24"/>
          <w:szCs w:val="24"/>
        </w:rPr>
        <w:t>reasonable additional</w:t>
      </w:r>
      <w:r w:rsidR="005930DC" w:rsidRPr="00EA0946" w:rsidDel="005930DC">
        <w:rPr>
          <w:sz w:val="24"/>
          <w:szCs w:val="24"/>
        </w:rPr>
        <w:t xml:space="preserve"> </w:t>
      </w:r>
      <w:r w:rsidRPr="00EA0946">
        <w:rPr>
          <w:sz w:val="24"/>
          <w:szCs w:val="24"/>
        </w:rPr>
        <w:t xml:space="preserve">costs in the decant property. </w:t>
      </w:r>
    </w:p>
    <w:p w14:paraId="7912544B" w14:textId="2A4385B3" w:rsidR="00696D44" w:rsidRPr="00EA0946" w:rsidRDefault="00882D93" w:rsidP="008B326F">
      <w:pPr>
        <w:ind w:left="-3" w:right="0"/>
        <w:rPr>
          <w:sz w:val="24"/>
          <w:szCs w:val="24"/>
        </w:rPr>
      </w:pPr>
      <w:r w:rsidRPr="00EA0946">
        <w:rPr>
          <w:sz w:val="24"/>
          <w:szCs w:val="24"/>
        </w:rPr>
        <w:t>In exceptional circumstances, such as when repairs are likely to take a long</w:t>
      </w:r>
      <w:r w:rsidR="00B618CD" w:rsidRPr="00EA0946">
        <w:rPr>
          <w:sz w:val="24"/>
          <w:szCs w:val="24"/>
        </w:rPr>
        <w:t>er</w:t>
      </w:r>
      <w:r w:rsidRPr="00EA0946">
        <w:rPr>
          <w:sz w:val="24"/>
          <w:szCs w:val="24"/>
        </w:rPr>
        <w:t xml:space="preserve"> time to complete</w:t>
      </w:r>
      <w:r w:rsidR="00B618CD" w:rsidRPr="00EA0946">
        <w:rPr>
          <w:sz w:val="24"/>
          <w:szCs w:val="24"/>
        </w:rPr>
        <w:t xml:space="preserve"> than anticipated</w:t>
      </w:r>
      <w:r w:rsidR="005930DC" w:rsidRPr="00EA0946">
        <w:rPr>
          <w:sz w:val="24"/>
          <w:szCs w:val="24"/>
        </w:rPr>
        <w:t xml:space="preserve"> and the property is an appropriate accommodation match</w:t>
      </w:r>
      <w:r w:rsidRPr="00EA0946">
        <w:rPr>
          <w:sz w:val="24"/>
          <w:szCs w:val="24"/>
        </w:rPr>
        <w:t>, consideration may be given to allowing the tenant to remain in the decant property on a permanent basis. This would be a voluntary arrangement</w:t>
      </w:r>
      <w:r w:rsidR="00F91F43" w:rsidRPr="00EA0946">
        <w:rPr>
          <w:sz w:val="24"/>
          <w:szCs w:val="24"/>
        </w:rPr>
        <w:t>,</w:t>
      </w:r>
      <w:r w:rsidRPr="00EA0946">
        <w:rPr>
          <w:sz w:val="24"/>
          <w:szCs w:val="24"/>
        </w:rPr>
        <w:t xml:space="preserve"> at the request of the tenant</w:t>
      </w:r>
      <w:r w:rsidR="00F91F43" w:rsidRPr="00EA0946">
        <w:rPr>
          <w:sz w:val="24"/>
          <w:szCs w:val="24"/>
        </w:rPr>
        <w:t xml:space="preserve"> and with the approval of appropriate ADC Director. </w:t>
      </w:r>
    </w:p>
    <w:p w14:paraId="4728E54C" w14:textId="1D6ED525" w:rsidR="000C3082" w:rsidRPr="00EA0946" w:rsidRDefault="002D27EF" w:rsidP="00882D93">
      <w:pPr>
        <w:pStyle w:val="Heading2"/>
        <w:numPr>
          <w:ilvl w:val="0"/>
          <w:numId w:val="23"/>
        </w:numPr>
        <w:tabs>
          <w:tab w:val="center" w:pos="2208"/>
        </w:tabs>
        <w:rPr>
          <w:sz w:val="24"/>
          <w:szCs w:val="24"/>
        </w:rPr>
      </w:pPr>
      <w:r w:rsidRPr="00EA0946">
        <w:rPr>
          <w:sz w:val="24"/>
          <w:szCs w:val="24"/>
        </w:rPr>
        <w:t xml:space="preserve">Permanent Decant  </w:t>
      </w:r>
    </w:p>
    <w:p w14:paraId="06F16B28" w14:textId="1031A708" w:rsidR="000C3082" w:rsidRPr="00EA0946" w:rsidRDefault="002D27EF">
      <w:pPr>
        <w:ind w:left="-3" w:right="0"/>
        <w:rPr>
          <w:sz w:val="24"/>
          <w:szCs w:val="24"/>
        </w:rPr>
      </w:pPr>
      <w:r w:rsidRPr="00EA0946">
        <w:rPr>
          <w:sz w:val="24"/>
          <w:szCs w:val="24"/>
        </w:rPr>
        <w:t>A permanent decant may be necessary where it is planned to dispose of, demolish</w:t>
      </w:r>
      <w:r w:rsidR="00882D93" w:rsidRPr="00EA0946">
        <w:rPr>
          <w:sz w:val="24"/>
          <w:szCs w:val="24"/>
        </w:rPr>
        <w:t xml:space="preserve">, remodel or </w:t>
      </w:r>
      <w:r w:rsidRPr="00EA0946">
        <w:rPr>
          <w:sz w:val="24"/>
          <w:szCs w:val="24"/>
        </w:rPr>
        <w:t>redevelop the property</w:t>
      </w:r>
      <w:r w:rsidR="00882D93" w:rsidRPr="00EA0946">
        <w:rPr>
          <w:sz w:val="24"/>
          <w:szCs w:val="24"/>
        </w:rPr>
        <w:t xml:space="preserve">. </w:t>
      </w:r>
      <w:r w:rsidRPr="00EA0946">
        <w:rPr>
          <w:sz w:val="24"/>
          <w:szCs w:val="24"/>
        </w:rPr>
        <w:t xml:space="preserve"> In these circumstances, </w:t>
      </w:r>
      <w:r w:rsidR="00F323BA" w:rsidRPr="00EA0946">
        <w:rPr>
          <w:sz w:val="24"/>
          <w:szCs w:val="24"/>
        </w:rPr>
        <w:t>ADC</w:t>
      </w:r>
      <w:r w:rsidRPr="00EA0946">
        <w:rPr>
          <w:sz w:val="24"/>
          <w:szCs w:val="24"/>
        </w:rPr>
        <w:t xml:space="preserve"> will </w:t>
      </w:r>
      <w:r w:rsidR="00F6533F">
        <w:rPr>
          <w:sz w:val="24"/>
          <w:szCs w:val="24"/>
        </w:rPr>
        <w:t>carry out consultation and work</w:t>
      </w:r>
      <w:r w:rsidRPr="00EA0946">
        <w:rPr>
          <w:sz w:val="24"/>
          <w:szCs w:val="24"/>
        </w:rPr>
        <w:t xml:space="preserve"> closely with affected tenants and residents at all stages to support them through the process and help find suitable alternative accommodation.   </w:t>
      </w:r>
    </w:p>
    <w:p w14:paraId="76A88923" w14:textId="77777777" w:rsidR="000C3082" w:rsidRPr="00EA0946" w:rsidRDefault="002D27EF">
      <w:pPr>
        <w:ind w:left="-3" w:right="0"/>
        <w:rPr>
          <w:sz w:val="24"/>
          <w:szCs w:val="24"/>
        </w:rPr>
      </w:pPr>
      <w:r w:rsidRPr="00EA0946">
        <w:rPr>
          <w:sz w:val="24"/>
          <w:szCs w:val="24"/>
        </w:rPr>
        <w:lastRenderedPageBreak/>
        <w:t xml:space="preserve">For these decants, the following principles apply:   </w:t>
      </w:r>
    </w:p>
    <w:p w14:paraId="3AA1F8FA" w14:textId="32F1A1EE" w:rsidR="000C3082" w:rsidRPr="00EA0946" w:rsidRDefault="002D27EF" w:rsidP="008B326F">
      <w:pPr>
        <w:pStyle w:val="ListParagraph"/>
        <w:numPr>
          <w:ilvl w:val="0"/>
          <w:numId w:val="34"/>
        </w:numPr>
        <w:ind w:right="0"/>
        <w:rPr>
          <w:sz w:val="24"/>
          <w:szCs w:val="24"/>
        </w:rPr>
      </w:pPr>
      <w:r w:rsidRPr="00EA0946">
        <w:rPr>
          <w:sz w:val="24"/>
          <w:szCs w:val="24"/>
        </w:rPr>
        <w:t>Tenant</w:t>
      </w:r>
      <w:r w:rsidR="00F91F43" w:rsidRPr="00EA0946">
        <w:rPr>
          <w:sz w:val="24"/>
          <w:szCs w:val="24"/>
        </w:rPr>
        <w:t>s</w:t>
      </w:r>
      <w:r w:rsidRPr="00EA0946">
        <w:rPr>
          <w:sz w:val="24"/>
          <w:szCs w:val="24"/>
        </w:rPr>
        <w:t xml:space="preserve"> will be given urgent priority </w:t>
      </w:r>
      <w:r w:rsidR="00B618CD" w:rsidRPr="00EA0946">
        <w:rPr>
          <w:sz w:val="24"/>
          <w:szCs w:val="24"/>
        </w:rPr>
        <w:t>through the lettings process</w:t>
      </w:r>
      <w:r w:rsidR="008B326F">
        <w:rPr>
          <w:sz w:val="24"/>
          <w:szCs w:val="24"/>
        </w:rPr>
        <w:t>.</w:t>
      </w:r>
      <w:r w:rsidR="00B618CD" w:rsidRPr="00EA0946">
        <w:rPr>
          <w:sz w:val="24"/>
          <w:szCs w:val="24"/>
        </w:rPr>
        <w:t xml:space="preserve"> </w:t>
      </w:r>
    </w:p>
    <w:p w14:paraId="59D8937A" w14:textId="0B752D20" w:rsidR="000C3082" w:rsidRPr="00EA0946" w:rsidRDefault="002D27EF" w:rsidP="008B326F">
      <w:pPr>
        <w:pStyle w:val="ListParagraph"/>
        <w:numPr>
          <w:ilvl w:val="0"/>
          <w:numId w:val="34"/>
        </w:numPr>
        <w:ind w:right="0"/>
        <w:rPr>
          <w:sz w:val="24"/>
          <w:szCs w:val="24"/>
        </w:rPr>
      </w:pPr>
      <w:r w:rsidRPr="00EA0946">
        <w:rPr>
          <w:sz w:val="24"/>
          <w:szCs w:val="24"/>
        </w:rPr>
        <w:t xml:space="preserve">Existing tenants will </w:t>
      </w:r>
      <w:r w:rsidR="00BD10FE" w:rsidRPr="00EA0946">
        <w:rPr>
          <w:sz w:val="24"/>
          <w:szCs w:val="24"/>
        </w:rPr>
        <w:t xml:space="preserve">normally </w:t>
      </w:r>
      <w:r w:rsidRPr="00EA0946">
        <w:rPr>
          <w:sz w:val="24"/>
          <w:szCs w:val="24"/>
        </w:rPr>
        <w:t>be offered a new tenancy on a like for like basis</w:t>
      </w:r>
      <w:r w:rsidR="00F91F43" w:rsidRPr="00EA0946">
        <w:rPr>
          <w:sz w:val="24"/>
          <w:szCs w:val="24"/>
        </w:rPr>
        <w:t xml:space="preserve">. </w:t>
      </w:r>
      <w:r w:rsidR="00BD10FE" w:rsidRPr="00EA0946">
        <w:rPr>
          <w:sz w:val="24"/>
          <w:szCs w:val="24"/>
        </w:rPr>
        <w:t xml:space="preserve">If the tenant is under occupying their current home, consideration will be given offering them a property suitable for their needs. </w:t>
      </w:r>
      <w:r w:rsidR="00F323BA" w:rsidRPr="00EA0946">
        <w:rPr>
          <w:sz w:val="24"/>
          <w:szCs w:val="24"/>
        </w:rPr>
        <w:t>ADC</w:t>
      </w:r>
      <w:r w:rsidRPr="00EA0946">
        <w:rPr>
          <w:sz w:val="24"/>
          <w:szCs w:val="24"/>
        </w:rPr>
        <w:t xml:space="preserve"> will match tenants to voids that become available and will make</w:t>
      </w:r>
      <w:r w:rsidR="00F91F43" w:rsidRPr="00EA0946">
        <w:rPr>
          <w:sz w:val="24"/>
          <w:szCs w:val="24"/>
        </w:rPr>
        <w:t xml:space="preserve"> up to</w:t>
      </w:r>
      <w:r w:rsidRPr="00EA0946">
        <w:rPr>
          <w:sz w:val="24"/>
          <w:szCs w:val="24"/>
        </w:rPr>
        <w:t xml:space="preserve"> two offers of suitable alternative accommodation. </w:t>
      </w:r>
    </w:p>
    <w:p w14:paraId="727A6518" w14:textId="1FDDB3D5" w:rsidR="00F91F43" w:rsidRPr="00EA0946" w:rsidRDefault="00F91F43" w:rsidP="008B326F">
      <w:pPr>
        <w:pStyle w:val="ListParagraph"/>
        <w:numPr>
          <w:ilvl w:val="0"/>
          <w:numId w:val="34"/>
        </w:numPr>
        <w:ind w:right="0"/>
        <w:rPr>
          <w:sz w:val="24"/>
          <w:szCs w:val="24"/>
        </w:rPr>
      </w:pPr>
      <w:r w:rsidRPr="00EA0946">
        <w:rPr>
          <w:sz w:val="24"/>
          <w:szCs w:val="24"/>
        </w:rPr>
        <w:t xml:space="preserve">If the decant is for the purpose of enabling new housing development on the site, </w:t>
      </w:r>
      <w:r w:rsidR="00F323BA" w:rsidRPr="00EA0946">
        <w:rPr>
          <w:sz w:val="24"/>
          <w:szCs w:val="24"/>
        </w:rPr>
        <w:t>ADC</w:t>
      </w:r>
      <w:r w:rsidRPr="00EA0946">
        <w:rPr>
          <w:sz w:val="24"/>
          <w:szCs w:val="24"/>
        </w:rPr>
        <w:t xml:space="preserve"> will discuss with the tenant the option of being rehoused in the new scheme if the planned accommodation is suitable for their needs. </w:t>
      </w:r>
    </w:p>
    <w:p w14:paraId="649E8AE1" w14:textId="1748B238" w:rsidR="000C3082" w:rsidRPr="00EA0946" w:rsidRDefault="00F323BA" w:rsidP="008B326F">
      <w:pPr>
        <w:pStyle w:val="ListParagraph"/>
        <w:numPr>
          <w:ilvl w:val="0"/>
          <w:numId w:val="34"/>
        </w:numPr>
        <w:ind w:right="0"/>
        <w:rPr>
          <w:sz w:val="24"/>
          <w:szCs w:val="24"/>
        </w:rPr>
      </w:pPr>
      <w:r w:rsidRPr="00EA0946">
        <w:rPr>
          <w:sz w:val="24"/>
          <w:szCs w:val="24"/>
        </w:rPr>
        <w:t>ADC</w:t>
      </w:r>
      <w:r w:rsidR="002D27EF" w:rsidRPr="00EA0946">
        <w:rPr>
          <w:sz w:val="24"/>
          <w:szCs w:val="24"/>
        </w:rPr>
        <w:t xml:space="preserve"> will provide a package of support tailored to meet each households needs.  </w:t>
      </w:r>
    </w:p>
    <w:p w14:paraId="28F146D4" w14:textId="5AE9DEE4" w:rsidR="00BD10FE" w:rsidRPr="00EA0946" w:rsidRDefault="00F91F43" w:rsidP="00F91F43">
      <w:pPr>
        <w:ind w:left="-3" w:right="0"/>
        <w:rPr>
          <w:sz w:val="24"/>
          <w:szCs w:val="24"/>
        </w:rPr>
      </w:pPr>
      <w:r w:rsidRPr="00EA0946">
        <w:rPr>
          <w:sz w:val="24"/>
          <w:szCs w:val="24"/>
        </w:rPr>
        <w:t xml:space="preserve">Where </w:t>
      </w:r>
      <w:r w:rsidR="00F323BA" w:rsidRPr="00EA0946">
        <w:rPr>
          <w:sz w:val="24"/>
          <w:szCs w:val="24"/>
        </w:rPr>
        <w:t xml:space="preserve">ADC </w:t>
      </w:r>
      <w:r w:rsidRPr="00EA0946">
        <w:rPr>
          <w:sz w:val="24"/>
          <w:szCs w:val="24"/>
        </w:rPr>
        <w:t xml:space="preserve">has already started possession proceedings against a tenant, prior to the decant, legal action to end the tenancy will be considered. </w:t>
      </w:r>
    </w:p>
    <w:p w14:paraId="1439D1B8" w14:textId="3F7E6A60" w:rsidR="00F91F43" w:rsidRPr="00EA0946" w:rsidRDefault="00BD10FE" w:rsidP="00F91F43">
      <w:pPr>
        <w:ind w:left="-3" w:right="0"/>
        <w:rPr>
          <w:sz w:val="24"/>
          <w:szCs w:val="24"/>
        </w:rPr>
      </w:pPr>
      <w:r w:rsidRPr="00EA0946">
        <w:rPr>
          <w:sz w:val="24"/>
          <w:szCs w:val="24"/>
        </w:rPr>
        <w:t xml:space="preserve">The tenant will be responsible for maintaining rent </w:t>
      </w:r>
      <w:r w:rsidR="003D4DD3" w:rsidRPr="00EA0946">
        <w:rPr>
          <w:sz w:val="24"/>
          <w:szCs w:val="24"/>
        </w:rPr>
        <w:t xml:space="preserve">and service charge </w:t>
      </w:r>
      <w:r w:rsidRPr="00EA0946">
        <w:rPr>
          <w:sz w:val="24"/>
          <w:szCs w:val="24"/>
        </w:rPr>
        <w:t xml:space="preserve">payments on their </w:t>
      </w:r>
      <w:r w:rsidR="003D4DD3" w:rsidRPr="00EA0946">
        <w:rPr>
          <w:sz w:val="24"/>
          <w:szCs w:val="24"/>
        </w:rPr>
        <w:t xml:space="preserve">permanent </w:t>
      </w:r>
      <w:r w:rsidRPr="00EA0946">
        <w:rPr>
          <w:sz w:val="24"/>
          <w:szCs w:val="24"/>
        </w:rPr>
        <w:t xml:space="preserve">tenanted property until </w:t>
      </w:r>
      <w:r w:rsidR="004C41E8" w:rsidRPr="00EA0946">
        <w:rPr>
          <w:sz w:val="24"/>
          <w:szCs w:val="24"/>
        </w:rPr>
        <w:t xml:space="preserve">the </w:t>
      </w:r>
      <w:r w:rsidRPr="00EA0946">
        <w:rPr>
          <w:sz w:val="24"/>
          <w:szCs w:val="24"/>
        </w:rPr>
        <w:t>move</w:t>
      </w:r>
      <w:r w:rsidR="004C41E8" w:rsidRPr="00EA0946">
        <w:rPr>
          <w:sz w:val="24"/>
          <w:szCs w:val="24"/>
        </w:rPr>
        <w:t xml:space="preserve"> is finalised and the tenant formally terminates their tenancy</w:t>
      </w:r>
      <w:r w:rsidRPr="00EA0946">
        <w:rPr>
          <w:sz w:val="24"/>
          <w:szCs w:val="24"/>
        </w:rPr>
        <w:t xml:space="preserve">, when they will become responsible for rent </w:t>
      </w:r>
      <w:r w:rsidR="003D4DD3" w:rsidRPr="00EA0946">
        <w:rPr>
          <w:sz w:val="24"/>
          <w:szCs w:val="24"/>
        </w:rPr>
        <w:t xml:space="preserve">and service charge </w:t>
      </w:r>
      <w:r w:rsidRPr="00EA0946">
        <w:rPr>
          <w:sz w:val="24"/>
          <w:szCs w:val="24"/>
        </w:rPr>
        <w:t>payments on their new home.</w:t>
      </w:r>
      <w:r w:rsidR="004C41E8" w:rsidRPr="00EA0946">
        <w:rPr>
          <w:sz w:val="24"/>
          <w:szCs w:val="24"/>
        </w:rPr>
        <w:t xml:space="preserve"> </w:t>
      </w:r>
      <w:r w:rsidRPr="00EA0946">
        <w:rPr>
          <w:sz w:val="24"/>
          <w:szCs w:val="24"/>
        </w:rPr>
        <w:t xml:space="preserve"> </w:t>
      </w:r>
      <w:r w:rsidR="00F91F43" w:rsidRPr="00EA0946">
        <w:rPr>
          <w:sz w:val="24"/>
          <w:szCs w:val="24"/>
        </w:rPr>
        <w:t xml:space="preserve">   </w:t>
      </w:r>
    </w:p>
    <w:p w14:paraId="3CEBA75C" w14:textId="77777777" w:rsidR="00BD10FE" w:rsidRPr="00EA0946" w:rsidRDefault="00BD10FE" w:rsidP="00BD10FE">
      <w:pPr>
        <w:ind w:left="-3" w:right="0"/>
        <w:rPr>
          <w:sz w:val="24"/>
          <w:szCs w:val="24"/>
        </w:rPr>
      </w:pPr>
      <w:r w:rsidRPr="00EA0946">
        <w:rPr>
          <w:sz w:val="24"/>
          <w:szCs w:val="24"/>
        </w:rPr>
        <w:t>Where required, ADC will assist in respect of the relocation, including helping to move essential items and making minor adaptations to make the decant property suitable, such as installing grab rails or a temporary ramp.</w:t>
      </w:r>
    </w:p>
    <w:p w14:paraId="59A8B562" w14:textId="2FB0EA17" w:rsidR="00F323BA" w:rsidRPr="00EA0946" w:rsidRDefault="00992A14">
      <w:pPr>
        <w:pStyle w:val="Heading2"/>
        <w:ind w:left="-3"/>
        <w:rPr>
          <w:b w:val="0"/>
          <w:bCs/>
          <w:sz w:val="24"/>
          <w:szCs w:val="24"/>
        </w:rPr>
      </w:pPr>
      <w:r w:rsidRPr="00EA0946">
        <w:rPr>
          <w:b w:val="0"/>
          <w:bCs/>
          <w:sz w:val="24"/>
          <w:szCs w:val="24"/>
        </w:rPr>
        <w:t xml:space="preserve">Other costs/assistance are as outlined in the Financial Support section. </w:t>
      </w:r>
    </w:p>
    <w:p w14:paraId="69B49D9F" w14:textId="502BCA85" w:rsidR="000C3082" w:rsidRPr="00EA0946" w:rsidRDefault="002D27EF" w:rsidP="00EA0946">
      <w:pPr>
        <w:pStyle w:val="Heading2"/>
        <w:numPr>
          <w:ilvl w:val="0"/>
          <w:numId w:val="32"/>
        </w:numPr>
        <w:rPr>
          <w:sz w:val="24"/>
          <w:szCs w:val="24"/>
        </w:rPr>
      </w:pPr>
      <w:r w:rsidRPr="00EA0946">
        <w:rPr>
          <w:sz w:val="24"/>
          <w:szCs w:val="24"/>
        </w:rPr>
        <w:t>Refus</w:t>
      </w:r>
      <w:r w:rsidR="00F26AD4" w:rsidRPr="00EA0946">
        <w:rPr>
          <w:sz w:val="24"/>
          <w:szCs w:val="24"/>
        </w:rPr>
        <w:t>ing o</w:t>
      </w:r>
      <w:r w:rsidRPr="00EA0946">
        <w:rPr>
          <w:sz w:val="24"/>
          <w:szCs w:val="24"/>
        </w:rPr>
        <w:t xml:space="preserve">ffers of accommodation </w:t>
      </w:r>
    </w:p>
    <w:p w14:paraId="7A990462" w14:textId="3FF3BA71" w:rsidR="000C3082" w:rsidRPr="00EA0946" w:rsidRDefault="00CA2808" w:rsidP="00CA2808">
      <w:pPr>
        <w:ind w:left="-3" w:right="0"/>
        <w:rPr>
          <w:sz w:val="24"/>
          <w:szCs w:val="24"/>
        </w:rPr>
      </w:pPr>
      <w:r w:rsidRPr="00EA0946">
        <w:rPr>
          <w:sz w:val="24"/>
          <w:szCs w:val="24"/>
        </w:rPr>
        <w:t xml:space="preserve">ADC will </w:t>
      </w:r>
      <w:r w:rsidR="00A33D8C" w:rsidRPr="00EA0946">
        <w:rPr>
          <w:sz w:val="24"/>
          <w:szCs w:val="24"/>
        </w:rPr>
        <w:t xml:space="preserve">use their best endeavours to </w:t>
      </w:r>
      <w:r w:rsidRPr="00EA0946">
        <w:rPr>
          <w:sz w:val="24"/>
          <w:szCs w:val="24"/>
        </w:rPr>
        <w:t xml:space="preserve">find </w:t>
      </w:r>
      <w:r w:rsidR="00A33D8C" w:rsidRPr="00EA0946">
        <w:rPr>
          <w:sz w:val="24"/>
          <w:szCs w:val="24"/>
        </w:rPr>
        <w:t xml:space="preserve">alternative </w:t>
      </w:r>
      <w:r w:rsidRPr="00EA0946">
        <w:rPr>
          <w:sz w:val="24"/>
          <w:szCs w:val="24"/>
        </w:rPr>
        <w:t xml:space="preserve">accommodation </w:t>
      </w:r>
      <w:r w:rsidR="00A33D8C" w:rsidRPr="00EA0946">
        <w:rPr>
          <w:sz w:val="24"/>
          <w:szCs w:val="24"/>
        </w:rPr>
        <w:t xml:space="preserve">that is suitable for the tenant. In view of the limited number of ADC properties, it may not be able to find a property that meets </w:t>
      </w:r>
      <w:r w:rsidR="003D4DD3" w:rsidRPr="00EA0946">
        <w:rPr>
          <w:sz w:val="24"/>
          <w:szCs w:val="24"/>
        </w:rPr>
        <w:t>all</w:t>
      </w:r>
      <w:r w:rsidR="00A33D8C" w:rsidRPr="00EA0946">
        <w:rPr>
          <w:sz w:val="24"/>
          <w:szCs w:val="24"/>
        </w:rPr>
        <w:t xml:space="preserve"> the tenant’s requirements.   </w:t>
      </w:r>
    </w:p>
    <w:p w14:paraId="5B4A290C" w14:textId="3B734CB9" w:rsidR="000C3082" w:rsidRPr="00EA0946" w:rsidRDefault="002D27EF">
      <w:pPr>
        <w:ind w:left="-3" w:right="0"/>
        <w:rPr>
          <w:sz w:val="24"/>
          <w:szCs w:val="24"/>
        </w:rPr>
      </w:pPr>
      <w:r w:rsidRPr="00EA0946">
        <w:rPr>
          <w:sz w:val="24"/>
          <w:szCs w:val="24"/>
        </w:rPr>
        <w:t xml:space="preserve">Tenants have the right to refuse offers of accommodation. However, after two reasonable offers of accommodation have been made, </w:t>
      </w:r>
      <w:r w:rsidR="00F26AD4" w:rsidRPr="00EA0946">
        <w:rPr>
          <w:sz w:val="24"/>
          <w:szCs w:val="24"/>
        </w:rPr>
        <w:t>ADC</w:t>
      </w:r>
      <w:r w:rsidRPr="00EA0946">
        <w:rPr>
          <w:sz w:val="24"/>
          <w:szCs w:val="24"/>
        </w:rPr>
        <w:t xml:space="preserve"> will make a final offer and this will be the first available property that meets the household’s bedroom </w:t>
      </w:r>
      <w:r w:rsidR="00AF2A70" w:rsidRPr="00EA0946">
        <w:rPr>
          <w:sz w:val="24"/>
          <w:szCs w:val="24"/>
        </w:rPr>
        <w:t xml:space="preserve">and disability </w:t>
      </w:r>
      <w:r w:rsidRPr="00EA0946">
        <w:rPr>
          <w:sz w:val="24"/>
          <w:szCs w:val="24"/>
        </w:rPr>
        <w:t xml:space="preserve">needs and is as close to their areas of preference as possible. </w:t>
      </w:r>
    </w:p>
    <w:p w14:paraId="47159E88" w14:textId="6E2CF174" w:rsidR="000C3082" w:rsidRPr="00EA0946" w:rsidRDefault="002D27EF">
      <w:pPr>
        <w:ind w:left="-3" w:right="0"/>
        <w:rPr>
          <w:sz w:val="24"/>
          <w:szCs w:val="24"/>
        </w:rPr>
      </w:pPr>
      <w:r w:rsidRPr="00EA0946">
        <w:rPr>
          <w:sz w:val="24"/>
          <w:szCs w:val="24"/>
        </w:rPr>
        <w:t xml:space="preserve">Where a tenant refuses to move or has refused the offers of other suitable alternative accommodation and other options are not feasible, </w:t>
      </w:r>
      <w:r w:rsidR="00934850" w:rsidRPr="00EA0946">
        <w:rPr>
          <w:sz w:val="24"/>
          <w:szCs w:val="24"/>
        </w:rPr>
        <w:t>ADC</w:t>
      </w:r>
      <w:r w:rsidRPr="00EA0946">
        <w:rPr>
          <w:sz w:val="24"/>
          <w:szCs w:val="24"/>
        </w:rPr>
        <w:t xml:space="preserve"> has the legal right to</w:t>
      </w:r>
      <w:r w:rsidR="00AF2A70" w:rsidRPr="00EA0946">
        <w:rPr>
          <w:sz w:val="24"/>
          <w:szCs w:val="24"/>
        </w:rPr>
        <w:t xml:space="preserve"> seek</w:t>
      </w:r>
      <w:r w:rsidRPr="00EA0946">
        <w:rPr>
          <w:sz w:val="24"/>
          <w:szCs w:val="24"/>
        </w:rPr>
        <w:t xml:space="preserve"> possession of the property for decanting purposes.  </w:t>
      </w:r>
    </w:p>
    <w:p w14:paraId="0D440631" w14:textId="13E54CCD" w:rsidR="000C3082" w:rsidRPr="00EA0946" w:rsidRDefault="00E51E3C" w:rsidP="00EA0946">
      <w:pPr>
        <w:pStyle w:val="ListParagraph"/>
        <w:numPr>
          <w:ilvl w:val="0"/>
          <w:numId w:val="32"/>
        </w:numPr>
        <w:spacing w:after="237" w:line="259" w:lineRule="auto"/>
        <w:ind w:right="0"/>
        <w:jc w:val="left"/>
        <w:rPr>
          <w:b/>
          <w:sz w:val="24"/>
          <w:szCs w:val="24"/>
        </w:rPr>
      </w:pPr>
      <w:r w:rsidRPr="00EA0946">
        <w:rPr>
          <w:b/>
          <w:sz w:val="24"/>
          <w:szCs w:val="24"/>
        </w:rPr>
        <w:t>S</w:t>
      </w:r>
      <w:r w:rsidR="002D27EF" w:rsidRPr="00EA0946">
        <w:rPr>
          <w:b/>
          <w:sz w:val="24"/>
          <w:szCs w:val="24"/>
        </w:rPr>
        <w:t xml:space="preserve">upport for tenants  </w:t>
      </w:r>
    </w:p>
    <w:p w14:paraId="5AD0F0B0" w14:textId="37FF9CAC" w:rsidR="00E51E3C" w:rsidRPr="00EA0946" w:rsidRDefault="00E51E3C" w:rsidP="00F323BA">
      <w:pPr>
        <w:pStyle w:val="Heading2"/>
        <w:numPr>
          <w:ilvl w:val="0"/>
          <w:numId w:val="29"/>
        </w:numPr>
        <w:rPr>
          <w:sz w:val="24"/>
          <w:szCs w:val="24"/>
        </w:rPr>
      </w:pPr>
      <w:r w:rsidRPr="00EA0946">
        <w:rPr>
          <w:sz w:val="24"/>
          <w:szCs w:val="24"/>
        </w:rPr>
        <w:t>Practical support</w:t>
      </w:r>
    </w:p>
    <w:p w14:paraId="3628E355" w14:textId="7A2E1044" w:rsidR="00BC583B" w:rsidRPr="00EA0946" w:rsidRDefault="00F6533F" w:rsidP="00E51E3C">
      <w:pPr>
        <w:rPr>
          <w:sz w:val="24"/>
          <w:szCs w:val="24"/>
        </w:rPr>
      </w:pPr>
      <w:r>
        <w:rPr>
          <w:sz w:val="24"/>
          <w:szCs w:val="24"/>
        </w:rPr>
        <w:t>Liaision</w:t>
      </w:r>
      <w:r w:rsidR="00BC583B" w:rsidRPr="00EA0946">
        <w:rPr>
          <w:sz w:val="24"/>
          <w:szCs w:val="24"/>
        </w:rPr>
        <w:t xml:space="preserve">with tenants affected will take place at the earliest opportunity in order to explain the process, including the support and options available. </w:t>
      </w:r>
      <w:r w:rsidR="0016455E" w:rsidRPr="00EA0946">
        <w:rPr>
          <w:sz w:val="24"/>
          <w:szCs w:val="24"/>
        </w:rPr>
        <w:t>ADC</w:t>
      </w:r>
      <w:r w:rsidR="00BC583B" w:rsidRPr="00EA0946">
        <w:rPr>
          <w:sz w:val="24"/>
          <w:szCs w:val="24"/>
        </w:rPr>
        <w:t xml:space="preserve"> </w:t>
      </w:r>
      <w:r w:rsidR="0016455E" w:rsidRPr="00EA0946">
        <w:rPr>
          <w:sz w:val="24"/>
          <w:szCs w:val="24"/>
        </w:rPr>
        <w:t xml:space="preserve">will </w:t>
      </w:r>
      <w:r w:rsidR="00BC583B" w:rsidRPr="00EA0946">
        <w:rPr>
          <w:sz w:val="24"/>
          <w:szCs w:val="24"/>
        </w:rPr>
        <w:t xml:space="preserve">identify a dedicated </w:t>
      </w:r>
      <w:r w:rsidR="0016455E" w:rsidRPr="00EA0946">
        <w:rPr>
          <w:sz w:val="24"/>
          <w:szCs w:val="24"/>
        </w:rPr>
        <w:t>officer</w:t>
      </w:r>
      <w:r w:rsidR="00BC583B" w:rsidRPr="00EA0946">
        <w:rPr>
          <w:sz w:val="24"/>
          <w:szCs w:val="24"/>
        </w:rPr>
        <w:t xml:space="preserve"> who will be the tenant’s key point of contact in relation to the decant and who will be responsible for making sure that the moves go as smoothly as </w:t>
      </w:r>
      <w:r w:rsidR="00BC583B" w:rsidRPr="00EA0946">
        <w:rPr>
          <w:sz w:val="24"/>
          <w:szCs w:val="24"/>
        </w:rPr>
        <w:lastRenderedPageBreak/>
        <w:t>possible, this could be from Lettings, Repairs</w:t>
      </w:r>
      <w:r w:rsidR="00361C72">
        <w:rPr>
          <w:sz w:val="24"/>
          <w:szCs w:val="24"/>
        </w:rPr>
        <w:t>, Asset Investment</w:t>
      </w:r>
      <w:r w:rsidR="00BC583B" w:rsidRPr="00EA0946">
        <w:rPr>
          <w:sz w:val="24"/>
          <w:szCs w:val="24"/>
        </w:rPr>
        <w:t xml:space="preserve"> or Tenancy Team</w:t>
      </w:r>
      <w:r w:rsidR="00361C72">
        <w:rPr>
          <w:sz w:val="24"/>
          <w:szCs w:val="24"/>
        </w:rPr>
        <w:t>,</w:t>
      </w:r>
      <w:r w:rsidR="00BC583B" w:rsidRPr="00EA0946">
        <w:rPr>
          <w:sz w:val="24"/>
          <w:szCs w:val="24"/>
        </w:rPr>
        <w:t xml:space="preserve"> depending on the nature and length of the decant. </w:t>
      </w:r>
    </w:p>
    <w:p w14:paraId="459106F5" w14:textId="50EA6473" w:rsidR="0016455E" w:rsidRPr="00EA0946" w:rsidRDefault="0016455E" w:rsidP="00E51E3C">
      <w:pPr>
        <w:rPr>
          <w:sz w:val="24"/>
          <w:szCs w:val="24"/>
        </w:rPr>
      </w:pPr>
      <w:r w:rsidRPr="00EA0946">
        <w:rPr>
          <w:sz w:val="24"/>
          <w:szCs w:val="24"/>
        </w:rPr>
        <w:t>The officer will discuss the level of practical support required and will agree an action plan to ensure all needs are met</w:t>
      </w:r>
      <w:r w:rsidR="00BE6536" w:rsidRPr="00EA0946">
        <w:rPr>
          <w:sz w:val="24"/>
          <w:szCs w:val="24"/>
        </w:rPr>
        <w:t xml:space="preserve"> where reasonably possible</w:t>
      </w:r>
      <w:r w:rsidRPr="00EA0946">
        <w:rPr>
          <w:sz w:val="24"/>
          <w:szCs w:val="24"/>
        </w:rPr>
        <w:t>. Support could relate to the following;</w:t>
      </w:r>
    </w:p>
    <w:p w14:paraId="66402673" w14:textId="04445E44" w:rsidR="0016455E" w:rsidRPr="00EA0946" w:rsidRDefault="0016455E" w:rsidP="00361C72">
      <w:pPr>
        <w:pStyle w:val="ListParagraph"/>
        <w:numPr>
          <w:ilvl w:val="0"/>
          <w:numId w:val="35"/>
        </w:numPr>
        <w:ind w:right="0"/>
        <w:rPr>
          <w:sz w:val="24"/>
          <w:szCs w:val="24"/>
        </w:rPr>
      </w:pPr>
      <w:r w:rsidRPr="00EA0946">
        <w:rPr>
          <w:sz w:val="24"/>
          <w:szCs w:val="24"/>
        </w:rPr>
        <w:t xml:space="preserve">General advice regarding </w:t>
      </w:r>
      <w:r w:rsidR="00F323BA" w:rsidRPr="00EA0946">
        <w:rPr>
          <w:sz w:val="24"/>
          <w:szCs w:val="24"/>
        </w:rPr>
        <w:t>ADC</w:t>
      </w:r>
      <w:r w:rsidRPr="00EA0946">
        <w:rPr>
          <w:sz w:val="24"/>
          <w:szCs w:val="24"/>
        </w:rPr>
        <w:t xml:space="preserve"> services, including housing allocations and benefit</w:t>
      </w:r>
      <w:r w:rsidR="002B3F3E" w:rsidRPr="00EA0946">
        <w:rPr>
          <w:sz w:val="24"/>
          <w:szCs w:val="24"/>
        </w:rPr>
        <w:t xml:space="preserve"> claims</w:t>
      </w:r>
      <w:r w:rsidRPr="00EA0946">
        <w:rPr>
          <w:sz w:val="24"/>
          <w:szCs w:val="24"/>
        </w:rPr>
        <w:t xml:space="preserve"> </w:t>
      </w:r>
    </w:p>
    <w:p w14:paraId="461002F0" w14:textId="77777777" w:rsidR="0016455E" w:rsidRPr="00EA0946" w:rsidRDefault="0016455E" w:rsidP="00361C72">
      <w:pPr>
        <w:pStyle w:val="ListParagraph"/>
        <w:numPr>
          <w:ilvl w:val="0"/>
          <w:numId w:val="35"/>
        </w:numPr>
        <w:ind w:right="0"/>
        <w:rPr>
          <w:sz w:val="24"/>
          <w:szCs w:val="24"/>
        </w:rPr>
      </w:pPr>
      <w:r w:rsidRPr="00EA0946">
        <w:rPr>
          <w:sz w:val="24"/>
          <w:szCs w:val="24"/>
        </w:rPr>
        <w:t xml:space="preserve">General advice and assistance on how to move home;  </w:t>
      </w:r>
    </w:p>
    <w:p w14:paraId="6F4D8002" w14:textId="77777777" w:rsidR="0016455E" w:rsidRPr="00EA0946" w:rsidRDefault="0016455E" w:rsidP="00361C72">
      <w:pPr>
        <w:pStyle w:val="ListParagraph"/>
        <w:numPr>
          <w:ilvl w:val="0"/>
          <w:numId w:val="35"/>
        </w:numPr>
        <w:ind w:right="0"/>
        <w:rPr>
          <w:sz w:val="24"/>
          <w:szCs w:val="24"/>
        </w:rPr>
      </w:pPr>
      <w:r w:rsidRPr="00EA0946">
        <w:rPr>
          <w:sz w:val="24"/>
          <w:szCs w:val="24"/>
        </w:rPr>
        <w:t xml:space="preserve">Assistance to view the property offered to them;  </w:t>
      </w:r>
    </w:p>
    <w:p w14:paraId="0CF5B41E" w14:textId="446F7190" w:rsidR="00B267EC" w:rsidRPr="00EA0946" w:rsidRDefault="00B267EC" w:rsidP="00361C72">
      <w:pPr>
        <w:pStyle w:val="ListParagraph"/>
        <w:numPr>
          <w:ilvl w:val="0"/>
          <w:numId w:val="35"/>
        </w:numPr>
        <w:ind w:right="0"/>
        <w:rPr>
          <w:sz w:val="24"/>
          <w:szCs w:val="24"/>
        </w:rPr>
      </w:pPr>
      <w:r w:rsidRPr="00EA0946">
        <w:rPr>
          <w:sz w:val="24"/>
          <w:szCs w:val="24"/>
        </w:rPr>
        <w:t>Assistance to move furniture and possessions</w:t>
      </w:r>
    </w:p>
    <w:p w14:paraId="0B34D03B" w14:textId="77777777" w:rsidR="0016455E" w:rsidRPr="00EA0946" w:rsidRDefault="0016455E" w:rsidP="00361C72">
      <w:pPr>
        <w:pStyle w:val="ListParagraph"/>
        <w:numPr>
          <w:ilvl w:val="0"/>
          <w:numId w:val="35"/>
        </w:numPr>
        <w:ind w:right="0"/>
        <w:rPr>
          <w:sz w:val="24"/>
          <w:szCs w:val="24"/>
        </w:rPr>
      </w:pPr>
      <w:r w:rsidRPr="00EA0946">
        <w:rPr>
          <w:sz w:val="24"/>
          <w:szCs w:val="24"/>
        </w:rPr>
        <w:t xml:space="preserve">Clearance of unwanted items;    </w:t>
      </w:r>
    </w:p>
    <w:p w14:paraId="04251285" w14:textId="77777777" w:rsidR="0016455E" w:rsidRPr="00EA0946" w:rsidRDefault="0016455E" w:rsidP="00361C72">
      <w:pPr>
        <w:pStyle w:val="ListParagraph"/>
        <w:numPr>
          <w:ilvl w:val="0"/>
          <w:numId w:val="35"/>
        </w:numPr>
        <w:ind w:right="0"/>
        <w:rPr>
          <w:sz w:val="24"/>
          <w:szCs w:val="24"/>
        </w:rPr>
      </w:pPr>
      <w:r w:rsidRPr="00EA0946">
        <w:rPr>
          <w:sz w:val="24"/>
          <w:szCs w:val="24"/>
        </w:rPr>
        <w:t xml:space="preserve">Additional support for vulnerable residents. </w:t>
      </w:r>
    </w:p>
    <w:p w14:paraId="19500E98" w14:textId="6C59BAC9" w:rsidR="00F323BA" w:rsidRPr="00EA0946" w:rsidRDefault="00F323BA" w:rsidP="00F323BA">
      <w:pPr>
        <w:rPr>
          <w:sz w:val="24"/>
          <w:szCs w:val="24"/>
        </w:rPr>
      </w:pPr>
      <w:r w:rsidRPr="00EA0946">
        <w:rPr>
          <w:sz w:val="24"/>
          <w:szCs w:val="24"/>
        </w:rPr>
        <w:t xml:space="preserve">During the decant period the officer will keep in contact with the tenant, to advise them of progress with the work and confirm that there are no issues with their current home. </w:t>
      </w:r>
    </w:p>
    <w:p w14:paraId="702C62B1" w14:textId="749F2B61" w:rsidR="00BC583B" w:rsidRPr="00EA0946" w:rsidRDefault="00BC583B" w:rsidP="00E51E3C">
      <w:pPr>
        <w:rPr>
          <w:sz w:val="24"/>
          <w:szCs w:val="24"/>
        </w:rPr>
      </w:pPr>
      <w:r w:rsidRPr="00EA0946">
        <w:rPr>
          <w:sz w:val="24"/>
          <w:szCs w:val="24"/>
        </w:rPr>
        <w:t xml:space="preserve">How much can be planned and agreed in advance of a move will depend on whether it is an emergency or planned move. </w:t>
      </w:r>
    </w:p>
    <w:p w14:paraId="18EA241E" w14:textId="0D8CB889" w:rsidR="00E51E3C" w:rsidRPr="00EA0946" w:rsidRDefault="00E51E3C" w:rsidP="00F323BA">
      <w:pPr>
        <w:pStyle w:val="ListParagraph"/>
        <w:numPr>
          <w:ilvl w:val="0"/>
          <w:numId w:val="29"/>
        </w:numPr>
        <w:rPr>
          <w:b/>
          <w:bCs/>
          <w:sz w:val="24"/>
          <w:szCs w:val="24"/>
        </w:rPr>
      </w:pPr>
      <w:r w:rsidRPr="00EA0946">
        <w:rPr>
          <w:b/>
          <w:bCs/>
          <w:sz w:val="24"/>
          <w:szCs w:val="24"/>
        </w:rPr>
        <w:t>Financial Support</w:t>
      </w:r>
    </w:p>
    <w:p w14:paraId="4E267C78" w14:textId="77777777" w:rsidR="005D70A0" w:rsidRPr="00EA0946" w:rsidRDefault="00F26AD4" w:rsidP="00361C72">
      <w:pPr>
        <w:pStyle w:val="Heading2"/>
        <w:jc w:val="both"/>
        <w:rPr>
          <w:b w:val="0"/>
          <w:bCs/>
          <w:sz w:val="24"/>
          <w:szCs w:val="24"/>
        </w:rPr>
      </w:pPr>
      <w:r w:rsidRPr="00EA0946">
        <w:rPr>
          <w:b w:val="0"/>
          <w:bCs/>
          <w:sz w:val="24"/>
          <w:szCs w:val="24"/>
        </w:rPr>
        <w:t xml:space="preserve">Statutory Home Loss </w:t>
      </w:r>
      <w:r w:rsidR="003D4DD3" w:rsidRPr="00EA0946">
        <w:rPr>
          <w:b w:val="0"/>
          <w:bCs/>
          <w:sz w:val="24"/>
          <w:szCs w:val="24"/>
        </w:rPr>
        <w:t xml:space="preserve">Payment </w:t>
      </w:r>
      <w:r w:rsidRPr="00EA0946">
        <w:rPr>
          <w:b w:val="0"/>
          <w:bCs/>
          <w:sz w:val="24"/>
          <w:szCs w:val="24"/>
        </w:rPr>
        <w:t xml:space="preserve">and Disturbance </w:t>
      </w:r>
      <w:r w:rsidR="003D4DD3" w:rsidRPr="00EA0946">
        <w:rPr>
          <w:b w:val="0"/>
          <w:bCs/>
          <w:sz w:val="24"/>
          <w:szCs w:val="24"/>
        </w:rPr>
        <w:t xml:space="preserve">Payment </w:t>
      </w:r>
      <w:r w:rsidRPr="00EA0946">
        <w:rPr>
          <w:b w:val="0"/>
          <w:bCs/>
          <w:sz w:val="24"/>
          <w:szCs w:val="24"/>
        </w:rPr>
        <w:t xml:space="preserve">are two separate payments with different entitlement criteria. </w:t>
      </w:r>
      <w:r w:rsidR="005D70A0" w:rsidRPr="00EA0946">
        <w:rPr>
          <w:b w:val="0"/>
          <w:bCs/>
          <w:sz w:val="24"/>
          <w:szCs w:val="24"/>
        </w:rPr>
        <w:t xml:space="preserve">Both relate to tenants who are forced to move </w:t>
      </w:r>
      <w:r w:rsidR="005D70A0" w:rsidRPr="00EA0946">
        <w:rPr>
          <w:sz w:val="24"/>
          <w:szCs w:val="24"/>
        </w:rPr>
        <w:t>permanently</w:t>
      </w:r>
      <w:r w:rsidR="005D70A0" w:rsidRPr="00EA0946">
        <w:rPr>
          <w:b w:val="0"/>
          <w:bCs/>
          <w:sz w:val="24"/>
          <w:szCs w:val="24"/>
        </w:rPr>
        <w:t xml:space="preserve"> out of their home, those who move on an emergency or temporary decant basis are not eligible. </w:t>
      </w:r>
    </w:p>
    <w:p w14:paraId="40CEB5F2" w14:textId="54330374" w:rsidR="00F26AD4" w:rsidRDefault="00F26AD4" w:rsidP="00361C72">
      <w:pPr>
        <w:pStyle w:val="Heading2"/>
        <w:ind w:left="-3"/>
        <w:jc w:val="both"/>
        <w:rPr>
          <w:b w:val="0"/>
          <w:bCs/>
          <w:sz w:val="24"/>
          <w:szCs w:val="24"/>
        </w:rPr>
      </w:pPr>
      <w:r w:rsidRPr="00EA0946">
        <w:rPr>
          <w:b w:val="0"/>
          <w:bCs/>
          <w:sz w:val="24"/>
          <w:szCs w:val="24"/>
        </w:rPr>
        <w:t xml:space="preserve">A Home Loss Payment is a fixed sum paid in recognition of the personal upset and distress caused to the customer by </w:t>
      </w:r>
      <w:r w:rsidRPr="00EA0946">
        <w:rPr>
          <w:sz w:val="24"/>
          <w:szCs w:val="24"/>
        </w:rPr>
        <w:t>permanent displacement</w:t>
      </w:r>
      <w:r w:rsidRPr="00EA0946">
        <w:rPr>
          <w:b w:val="0"/>
          <w:bCs/>
          <w:sz w:val="24"/>
          <w:szCs w:val="24"/>
        </w:rPr>
        <w:t>. Home</w:t>
      </w:r>
      <w:r w:rsidR="002E3FF0" w:rsidRPr="00EA0946">
        <w:rPr>
          <w:b w:val="0"/>
          <w:bCs/>
          <w:sz w:val="24"/>
          <w:szCs w:val="24"/>
        </w:rPr>
        <w:t xml:space="preserve"> L</w:t>
      </w:r>
      <w:r w:rsidRPr="00EA0946">
        <w:rPr>
          <w:b w:val="0"/>
          <w:bCs/>
          <w:sz w:val="24"/>
          <w:szCs w:val="24"/>
        </w:rPr>
        <w:t xml:space="preserve">oss payments are a legal requirement under the Land Compensation Act </w:t>
      </w:r>
      <w:r w:rsidR="0016455E" w:rsidRPr="00EA0946">
        <w:rPr>
          <w:b w:val="0"/>
          <w:bCs/>
          <w:sz w:val="24"/>
          <w:szCs w:val="24"/>
        </w:rPr>
        <w:t xml:space="preserve">1973 </w:t>
      </w:r>
      <w:r w:rsidRPr="00EA0946">
        <w:rPr>
          <w:b w:val="0"/>
          <w:bCs/>
          <w:sz w:val="24"/>
          <w:szCs w:val="24"/>
        </w:rPr>
        <w:t xml:space="preserve">and the Planning &amp; Compensation Act 1991, but only if a customer is required to move permanently from their home. To be eligible for this payment, the following must apply: </w:t>
      </w:r>
    </w:p>
    <w:p w14:paraId="685020B7" w14:textId="346DDEA2" w:rsidR="00F26AD4" w:rsidRPr="00EA0946" w:rsidRDefault="00F26AD4" w:rsidP="00361C72">
      <w:pPr>
        <w:pStyle w:val="Heading2"/>
        <w:numPr>
          <w:ilvl w:val="0"/>
          <w:numId w:val="36"/>
        </w:numPr>
        <w:rPr>
          <w:b w:val="0"/>
          <w:bCs/>
          <w:sz w:val="24"/>
          <w:szCs w:val="24"/>
        </w:rPr>
      </w:pPr>
      <w:r w:rsidRPr="00EA0946">
        <w:rPr>
          <w:b w:val="0"/>
          <w:bCs/>
          <w:sz w:val="24"/>
          <w:szCs w:val="24"/>
        </w:rPr>
        <w:t xml:space="preserve">the </w:t>
      </w:r>
      <w:r w:rsidR="003D4DD3" w:rsidRPr="00EA0946">
        <w:rPr>
          <w:b w:val="0"/>
          <w:bCs/>
          <w:sz w:val="24"/>
          <w:szCs w:val="24"/>
        </w:rPr>
        <w:t xml:space="preserve">secure </w:t>
      </w:r>
      <w:r w:rsidR="00934850" w:rsidRPr="00EA0946">
        <w:rPr>
          <w:b w:val="0"/>
          <w:bCs/>
          <w:sz w:val="24"/>
          <w:szCs w:val="24"/>
        </w:rPr>
        <w:t>tenant</w:t>
      </w:r>
      <w:r w:rsidRPr="00EA0946">
        <w:rPr>
          <w:b w:val="0"/>
          <w:bCs/>
          <w:sz w:val="24"/>
          <w:szCs w:val="24"/>
        </w:rPr>
        <w:t xml:space="preserve"> has been living in the property for one year before they have to be permanently decanted </w:t>
      </w:r>
    </w:p>
    <w:p w14:paraId="2142C04B" w14:textId="2406281C" w:rsidR="00361C72" w:rsidRPr="00361C72" w:rsidRDefault="00F26AD4" w:rsidP="00361C72">
      <w:pPr>
        <w:pStyle w:val="Heading2"/>
        <w:numPr>
          <w:ilvl w:val="0"/>
          <w:numId w:val="36"/>
        </w:numPr>
      </w:pPr>
      <w:r w:rsidRPr="00361C72">
        <w:rPr>
          <w:b w:val="0"/>
          <w:bCs/>
          <w:sz w:val="24"/>
          <w:szCs w:val="24"/>
        </w:rPr>
        <w:t xml:space="preserve">the </w:t>
      </w:r>
      <w:r w:rsidR="00934850" w:rsidRPr="00361C72">
        <w:rPr>
          <w:b w:val="0"/>
          <w:bCs/>
          <w:sz w:val="24"/>
          <w:szCs w:val="24"/>
        </w:rPr>
        <w:t>tenant</w:t>
      </w:r>
      <w:r w:rsidRPr="00361C72">
        <w:rPr>
          <w:b w:val="0"/>
          <w:bCs/>
          <w:sz w:val="24"/>
          <w:szCs w:val="24"/>
        </w:rPr>
        <w:t xml:space="preserve"> has been living in the property as their main or only residence </w:t>
      </w:r>
    </w:p>
    <w:p w14:paraId="0340542E" w14:textId="60C1862C" w:rsidR="00F26AD4" w:rsidRDefault="00F26AD4" w:rsidP="00361C72">
      <w:pPr>
        <w:pStyle w:val="Heading2"/>
        <w:numPr>
          <w:ilvl w:val="0"/>
          <w:numId w:val="36"/>
        </w:numPr>
        <w:rPr>
          <w:b w:val="0"/>
          <w:bCs/>
          <w:sz w:val="24"/>
          <w:szCs w:val="24"/>
        </w:rPr>
      </w:pPr>
      <w:r w:rsidRPr="00EA0946">
        <w:rPr>
          <w:b w:val="0"/>
          <w:bCs/>
          <w:sz w:val="24"/>
          <w:szCs w:val="24"/>
        </w:rPr>
        <w:t xml:space="preserve">the </w:t>
      </w:r>
      <w:r w:rsidR="00934850" w:rsidRPr="00EA0946">
        <w:rPr>
          <w:b w:val="0"/>
          <w:bCs/>
          <w:sz w:val="24"/>
          <w:szCs w:val="24"/>
        </w:rPr>
        <w:t>tenant</w:t>
      </w:r>
      <w:r w:rsidRPr="00EA0946">
        <w:rPr>
          <w:b w:val="0"/>
          <w:bCs/>
          <w:sz w:val="24"/>
          <w:szCs w:val="24"/>
        </w:rPr>
        <w:t xml:space="preserve"> is being required to move as a consequence of improvement or redevelopment (repairs, even if major, do not justify payment) </w:t>
      </w:r>
    </w:p>
    <w:p w14:paraId="2A43C599" w14:textId="77777777" w:rsidR="00361C72" w:rsidRPr="00361C72" w:rsidRDefault="00361C72" w:rsidP="00361C72"/>
    <w:p w14:paraId="05917EE8" w14:textId="35129BA8" w:rsidR="00361C72" w:rsidRPr="00361C72" w:rsidRDefault="00F26AD4" w:rsidP="00361C72">
      <w:pPr>
        <w:pStyle w:val="Heading2"/>
        <w:ind w:left="-3"/>
        <w:jc w:val="both"/>
      </w:pPr>
      <w:r w:rsidRPr="00EA0946">
        <w:rPr>
          <w:b w:val="0"/>
          <w:bCs/>
          <w:sz w:val="24"/>
          <w:szCs w:val="24"/>
        </w:rPr>
        <w:lastRenderedPageBreak/>
        <w:t>The amount payable is governed by The Home Loss Payments (Prescribed Amounts) (England)</w:t>
      </w:r>
      <w:r w:rsidR="005306F2">
        <w:rPr>
          <w:b w:val="0"/>
          <w:bCs/>
          <w:sz w:val="24"/>
          <w:szCs w:val="24"/>
        </w:rPr>
        <w:t xml:space="preserve"> Regulations</w:t>
      </w:r>
      <w:r w:rsidRPr="00EA0946">
        <w:rPr>
          <w:b w:val="0"/>
          <w:bCs/>
          <w:sz w:val="24"/>
          <w:szCs w:val="24"/>
        </w:rPr>
        <w:t xml:space="preserve">. Any outstanding rent arrears or other debts owed to </w:t>
      </w:r>
      <w:r w:rsidR="00934850" w:rsidRPr="00EA0946">
        <w:rPr>
          <w:b w:val="0"/>
          <w:bCs/>
          <w:sz w:val="24"/>
          <w:szCs w:val="24"/>
        </w:rPr>
        <w:t>ADC</w:t>
      </w:r>
      <w:r w:rsidRPr="00EA0946">
        <w:rPr>
          <w:b w:val="0"/>
          <w:bCs/>
          <w:sz w:val="24"/>
          <w:szCs w:val="24"/>
        </w:rPr>
        <w:t xml:space="preserve"> will be deducted from the Home Loss Payment and credited to the customer’s rent or sub account. Payment for Disturbance Allowance is governed by the Land Compensation Act 1973. </w:t>
      </w:r>
      <w:r w:rsidR="002E3FF0" w:rsidRPr="00EA0946">
        <w:rPr>
          <w:b w:val="0"/>
          <w:bCs/>
          <w:sz w:val="24"/>
          <w:szCs w:val="24"/>
        </w:rPr>
        <w:t xml:space="preserve"> For joint tenancies, one Home Loss payment will be shared between both tenants.</w:t>
      </w:r>
      <w:r w:rsidR="00992A14" w:rsidRPr="00EA0946">
        <w:rPr>
          <w:b w:val="0"/>
          <w:bCs/>
          <w:sz w:val="24"/>
          <w:szCs w:val="24"/>
        </w:rPr>
        <w:t xml:space="preserve"> No other people resident in the home or required to move will receive one. </w:t>
      </w:r>
    </w:p>
    <w:p w14:paraId="01B85A4B" w14:textId="77777777" w:rsidR="007560FD" w:rsidRPr="00EA0946" w:rsidRDefault="002E3FF0" w:rsidP="007560FD">
      <w:pPr>
        <w:rPr>
          <w:sz w:val="24"/>
          <w:szCs w:val="24"/>
        </w:rPr>
      </w:pPr>
      <w:r w:rsidRPr="00EA0946">
        <w:rPr>
          <w:sz w:val="24"/>
          <w:szCs w:val="24"/>
        </w:rPr>
        <w:t xml:space="preserve">If a permanent decant is a voluntary decision because </w:t>
      </w:r>
      <w:r w:rsidR="007560FD" w:rsidRPr="00EA0946">
        <w:rPr>
          <w:sz w:val="24"/>
          <w:szCs w:val="24"/>
        </w:rPr>
        <w:t xml:space="preserve">the tenant has a preference to move because of the </w:t>
      </w:r>
      <w:r w:rsidRPr="00EA0946">
        <w:rPr>
          <w:sz w:val="24"/>
          <w:szCs w:val="24"/>
        </w:rPr>
        <w:t>repair work, the tenant will not be entitled to a Home Loss payment.</w:t>
      </w:r>
    </w:p>
    <w:p w14:paraId="30238BE9" w14:textId="360BE762" w:rsidR="00F26AD4" w:rsidRPr="00EA0946" w:rsidRDefault="007560FD" w:rsidP="007560FD">
      <w:pPr>
        <w:rPr>
          <w:b/>
          <w:bCs/>
          <w:sz w:val="24"/>
          <w:szCs w:val="24"/>
        </w:rPr>
      </w:pPr>
      <w:r w:rsidRPr="00EA0946">
        <w:rPr>
          <w:sz w:val="24"/>
          <w:szCs w:val="24"/>
        </w:rPr>
        <w:t xml:space="preserve">Similarly, disturbance payments are payable when a tenant is forced to move on a </w:t>
      </w:r>
      <w:r w:rsidRPr="00EA0946">
        <w:rPr>
          <w:b/>
          <w:bCs/>
          <w:sz w:val="24"/>
          <w:szCs w:val="24"/>
        </w:rPr>
        <w:t xml:space="preserve">permanent </w:t>
      </w:r>
      <w:r w:rsidRPr="00EA0946">
        <w:rPr>
          <w:sz w:val="24"/>
          <w:szCs w:val="24"/>
        </w:rPr>
        <w:t>basis</w:t>
      </w:r>
      <w:r w:rsidRPr="00EA0946">
        <w:rPr>
          <w:b/>
          <w:bCs/>
          <w:sz w:val="24"/>
          <w:szCs w:val="24"/>
        </w:rPr>
        <w:t xml:space="preserve">. </w:t>
      </w:r>
      <w:r w:rsidR="00F26AD4" w:rsidRPr="00EA0946">
        <w:rPr>
          <w:bCs/>
          <w:sz w:val="24"/>
          <w:szCs w:val="24"/>
        </w:rPr>
        <w:t xml:space="preserve">Compensation for disturbance is based on the principle of equivalence: the customer should receive reimbursement of costs incurred and payment for losses sustained as a result of moving from their property. The amount payable overall should result in the </w:t>
      </w:r>
      <w:r w:rsidR="0016455E" w:rsidRPr="00EA0946">
        <w:rPr>
          <w:bCs/>
          <w:sz w:val="24"/>
          <w:szCs w:val="24"/>
        </w:rPr>
        <w:t>tenant</w:t>
      </w:r>
      <w:r w:rsidR="00F26AD4" w:rsidRPr="00EA0946">
        <w:rPr>
          <w:bCs/>
          <w:sz w:val="24"/>
          <w:szCs w:val="24"/>
        </w:rPr>
        <w:t xml:space="preserve"> being neither worse nor better off.</w:t>
      </w:r>
      <w:r w:rsidR="00312EFE" w:rsidRPr="00EA0946">
        <w:rPr>
          <w:bCs/>
          <w:sz w:val="24"/>
          <w:szCs w:val="24"/>
        </w:rPr>
        <w:t xml:space="preserve"> Typically, instead of the tenant having to make payments in advance and claim monies back, ADC will organise and undertake the works themselves or pay contractors direct. </w:t>
      </w:r>
    </w:p>
    <w:p w14:paraId="5981CF21" w14:textId="441851A2" w:rsidR="00F26AD4" w:rsidRDefault="00F26AD4">
      <w:pPr>
        <w:pStyle w:val="Heading2"/>
        <w:ind w:left="-3"/>
        <w:rPr>
          <w:b w:val="0"/>
          <w:bCs/>
          <w:sz w:val="24"/>
          <w:szCs w:val="24"/>
        </w:rPr>
      </w:pPr>
      <w:r w:rsidRPr="00EA0946">
        <w:rPr>
          <w:b w:val="0"/>
          <w:bCs/>
          <w:sz w:val="24"/>
          <w:szCs w:val="24"/>
        </w:rPr>
        <w:t xml:space="preserve">Items which </w:t>
      </w:r>
      <w:r w:rsidR="00815C51">
        <w:rPr>
          <w:b w:val="0"/>
          <w:bCs/>
          <w:sz w:val="24"/>
          <w:szCs w:val="24"/>
        </w:rPr>
        <w:t>may</w:t>
      </w:r>
      <w:r w:rsidRPr="00EA0946">
        <w:rPr>
          <w:b w:val="0"/>
          <w:bCs/>
          <w:sz w:val="24"/>
          <w:szCs w:val="24"/>
        </w:rPr>
        <w:t xml:space="preserve"> be included</w:t>
      </w:r>
      <w:r w:rsidR="0016455E" w:rsidRPr="00EA0946">
        <w:rPr>
          <w:b w:val="0"/>
          <w:bCs/>
          <w:sz w:val="24"/>
          <w:szCs w:val="24"/>
        </w:rPr>
        <w:t xml:space="preserve"> in disturbance payments</w:t>
      </w:r>
      <w:r w:rsidR="00F323BA" w:rsidRPr="00EA0946">
        <w:rPr>
          <w:b w:val="0"/>
          <w:bCs/>
          <w:sz w:val="24"/>
          <w:szCs w:val="24"/>
        </w:rPr>
        <w:t xml:space="preserve"> are listed below</w:t>
      </w:r>
      <w:r w:rsidR="00312EFE" w:rsidRPr="00EA0946">
        <w:rPr>
          <w:b w:val="0"/>
          <w:bCs/>
          <w:sz w:val="24"/>
          <w:szCs w:val="24"/>
        </w:rPr>
        <w:t xml:space="preserve"> (the list is not exhaustive)</w:t>
      </w:r>
      <w:r w:rsidRPr="00EA0946">
        <w:rPr>
          <w:b w:val="0"/>
          <w:bCs/>
          <w:sz w:val="24"/>
          <w:szCs w:val="24"/>
        </w:rPr>
        <w:t xml:space="preserve">: </w:t>
      </w:r>
    </w:p>
    <w:p w14:paraId="5BFB7C67" w14:textId="65BA370F" w:rsidR="00F26AD4" w:rsidRPr="00EA0946" w:rsidRDefault="00F26AD4" w:rsidP="00361C72">
      <w:pPr>
        <w:pStyle w:val="Heading2"/>
        <w:numPr>
          <w:ilvl w:val="0"/>
          <w:numId w:val="37"/>
        </w:numPr>
        <w:rPr>
          <w:b w:val="0"/>
          <w:bCs/>
          <w:sz w:val="24"/>
          <w:szCs w:val="24"/>
        </w:rPr>
      </w:pPr>
      <w:r w:rsidRPr="00EA0946">
        <w:rPr>
          <w:b w:val="0"/>
          <w:bCs/>
          <w:sz w:val="24"/>
          <w:szCs w:val="24"/>
        </w:rPr>
        <w:t xml:space="preserve">cost of removals </w:t>
      </w:r>
    </w:p>
    <w:p w14:paraId="6DE5F5BB" w14:textId="229C4ADF" w:rsidR="00F26AD4" w:rsidRPr="00EA0946" w:rsidRDefault="00F26AD4" w:rsidP="00361C72">
      <w:pPr>
        <w:pStyle w:val="Heading2"/>
        <w:numPr>
          <w:ilvl w:val="0"/>
          <w:numId w:val="37"/>
        </w:numPr>
        <w:rPr>
          <w:b w:val="0"/>
          <w:bCs/>
          <w:sz w:val="24"/>
          <w:szCs w:val="24"/>
        </w:rPr>
      </w:pPr>
      <w:r w:rsidRPr="00EA0946">
        <w:rPr>
          <w:b w:val="0"/>
          <w:bCs/>
          <w:sz w:val="24"/>
          <w:szCs w:val="24"/>
        </w:rPr>
        <w:t xml:space="preserve">cost of altering soft furnishings, i.e. </w:t>
      </w:r>
      <w:r w:rsidR="002B3F3E" w:rsidRPr="00EA0946">
        <w:rPr>
          <w:b w:val="0"/>
          <w:bCs/>
          <w:sz w:val="24"/>
          <w:szCs w:val="24"/>
        </w:rPr>
        <w:t xml:space="preserve">removal and </w:t>
      </w:r>
      <w:r w:rsidRPr="00EA0946">
        <w:rPr>
          <w:b w:val="0"/>
          <w:bCs/>
          <w:sz w:val="24"/>
          <w:szCs w:val="24"/>
        </w:rPr>
        <w:t xml:space="preserve">refitting </w:t>
      </w:r>
      <w:r w:rsidR="002B3F3E" w:rsidRPr="00EA0946">
        <w:rPr>
          <w:b w:val="0"/>
          <w:bCs/>
          <w:sz w:val="24"/>
          <w:szCs w:val="24"/>
        </w:rPr>
        <w:t xml:space="preserve">of </w:t>
      </w:r>
      <w:r w:rsidRPr="00EA0946">
        <w:rPr>
          <w:b w:val="0"/>
          <w:bCs/>
          <w:sz w:val="24"/>
          <w:szCs w:val="24"/>
        </w:rPr>
        <w:t xml:space="preserve">carpets, altering curtains and blinds and refixing curtain rails </w:t>
      </w:r>
    </w:p>
    <w:p w14:paraId="010C9D94" w14:textId="7A946B62" w:rsidR="00F26AD4" w:rsidRPr="00EA0946" w:rsidRDefault="00F26AD4" w:rsidP="00361C72">
      <w:pPr>
        <w:pStyle w:val="Heading2"/>
        <w:numPr>
          <w:ilvl w:val="0"/>
          <w:numId w:val="37"/>
        </w:numPr>
        <w:rPr>
          <w:b w:val="0"/>
          <w:bCs/>
          <w:sz w:val="24"/>
          <w:szCs w:val="24"/>
        </w:rPr>
      </w:pPr>
      <w:r w:rsidRPr="00EA0946">
        <w:rPr>
          <w:b w:val="0"/>
          <w:bCs/>
          <w:sz w:val="24"/>
          <w:szCs w:val="24"/>
        </w:rPr>
        <w:t xml:space="preserve">cost of providing new curtains and carpets where those from the old home cannot be adapted to fit </w:t>
      </w:r>
    </w:p>
    <w:p w14:paraId="2BDD64AD" w14:textId="23DC4256" w:rsidR="00F26AD4" w:rsidRDefault="00F26AD4" w:rsidP="00361C72">
      <w:pPr>
        <w:pStyle w:val="Heading2"/>
        <w:numPr>
          <w:ilvl w:val="0"/>
          <w:numId w:val="37"/>
        </w:numPr>
        <w:rPr>
          <w:b w:val="0"/>
          <w:bCs/>
          <w:sz w:val="24"/>
          <w:szCs w:val="24"/>
        </w:rPr>
      </w:pPr>
      <w:r w:rsidRPr="00EA0946">
        <w:rPr>
          <w:b w:val="0"/>
          <w:bCs/>
          <w:sz w:val="24"/>
          <w:szCs w:val="24"/>
        </w:rPr>
        <w:t>disconnection and reconnection costs for telephone, cooker, washing machine and other plumbing. (</w:t>
      </w:r>
      <w:r w:rsidR="00F323BA" w:rsidRPr="00EA0946">
        <w:rPr>
          <w:b w:val="0"/>
          <w:bCs/>
          <w:sz w:val="24"/>
          <w:szCs w:val="24"/>
        </w:rPr>
        <w:t>ADC</w:t>
      </w:r>
      <w:r w:rsidRPr="00EA0946">
        <w:rPr>
          <w:b w:val="0"/>
          <w:bCs/>
          <w:sz w:val="24"/>
          <w:szCs w:val="24"/>
        </w:rPr>
        <w:t xml:space="preserve"> will need to consider providing white goods, i.e. cooker/fridge/washing machine where customers move from housing where these are provided to properties where they are not) </w:t>
      </w:r>
    </w:p>
    <w:p w14:paraId="74651D11" w14:textId="422BF456" w:rsidR="00F26AD4" w:rsidRPr="00EA0946" w:rsidRDefault="00F26AD4" w:rsidP="00361C72">
      <w:pPr>
        <w:pStyle w:val="Heading2"/>
        <w:numPr>
          <w:ilvl w:val="0"/>
          <w:numId w:val="37"/>
        </w:numPr>
        <w:rPr>
          <w:b w:val="0"/>
          <w:bCs/>
          <w:sz w:val="24"/>
          <w:szCs w:val="24"/>
        </w:rPr>
      </w:pPr>
      <w:r w:rsidRPr="00EA0946">
        <w:rPr>
          <w:b w:val="0"/>
          <w:bCs/>
          <w:sz w:val="24"/>
          <w:szCs w:val="24"/>
        </w:rPr>
        <w:t xml:space="preserve">redirection of mail </w:t>
      </w:r>
    </w:p>
    <w:p w14:paraId="619A095A" w14:textId="38D097CB" w:rsidR="00F26AD4" w:rsidRPr="00EA0946" w:rsidRDefault="00F26AD4" w:rsidP="00361C72">
      <w:pPr>
        <w:pStyle w:val="Heading2"/>
        <w:numPr>
          <w:ilvl w:val="0"/>
          <w:numId w:val="37"/>
        </w:numPr>
        <w:rPr>
          <w:b w:val="0"/>
          <w:bCs/>
          <w:sz w:val="24"/>
          <w:szCs w:val="24"/>
        </w:rPr>
      </w:pPr>
      <w:r w:rsidRPr="00EA0946">
        <w:rPr>
          <w:b w:val="0"/>
          <w:bCs/>
          <w:sz w:val="24"/>
          <w:szCs w:val="24"/>
        </w:rPr>
        <w:t xml:space="preserve">loss of wages where time off is unavoidable due to displacement </w:t>
      </w:r>
    </w:p>
    <w:p w14:paraId="17C58572" w14:textId="29B7138A" w:rsidR="00F26AD4" w:rsidRPr="00EA0946" w:rsidRDefault="00F26AD4" w:rsidP="00361C72">
      <w:pPr>
        <w:pStyle w:val="Heading2"/>
        <w:numPr>
          <w:ilvl w:val="0"/>
          <w:numId w:val="37"/>
        </w:numPr>
        <w:rPr>
          <w:b w:val="0"/>
          <w:bCs/>
          <w:sz w:val="24"/>
          <w:szCs w:val="24"/>
        </w:rPr>
      </w:pPr>
      <w:r w:rsidRPr="00EA0946">
        <w:rPr>
          <w:b w:val="0"/>
          <w:bCs/>
          <w:sz w:val="24"/>
          <w:szCs w:val="24"/>
        </w:rPr>
        <w:t xml:space="preserve">cost of moving and re-erecting aerials and satellite dishes </w:t>
      </w:r>
    </w:p>
    <w:p w14:paraId="69E0EAEE" w14:textId="021332FA" w:rsidR="00F26AD4" w:rsidRDefault="00F26AD4" w:rsidP="00361C72">
      <w:pPr>
        <w:pStyle w:val="Heading2"/>
        <w:numPr>
          <w:ilvl w:val="0"/>
          <w:numId w:val="37"/>
        </w:numPr>
        <w:rPr>
          <w:b w:val="0"/>
          <w:bCs/>
          <w:sz w:val="24"/>
          <w:szCs w:val="24"/>
        </w:rPr>
      </w:pPr>
      <w:r w:rsidRPr="00EA0946">
        <w:rPr>
          <w:b w:val="0"/>
          <w:bCs/>
          <w:sz w:val="24"/>
          <w:szCs w:val="24"/>
        </w:rPr>
        <w:t xml:space="preserve">new school uniforms if children need to change school and associated costs </w:t>
      </w:r>
    </w:p>
    <w:p w14:paraId="1345333B" w14:textId="29EE112A" w:rsidR="00F26AD4" w:rsidRDefault="00F26AD4" w:rsidP="00361C72">
      <w:pPr>
        <w:pStyle w:val="Heading2"/>
        <w:numPr>
          <w:ilvl w:val="0"/>
          <w:numId w:val="37"/>
        </w:numPr>
        <w:rPr>
          <w:b w:val="0"/>
          <w:bCs/>
          <w:sz w:val="24"/>
          <w:szCs w:val="24"/>
        </w:rPr>
      </w:pPr>
      <w:r w:rsidRPr="00EA0946">
        <w:rPr>
          <w:b w:val="0"/>
          <w:bCs/>
          <w:sz w:val="24"/>
          <w:szCs w:val="24"/>
        </w:rPr>
        <w:t>stora</w:t>
      </w:r>
      <w:r w:rsidR="00361C72">
        <w:rPr>
          <w:b w:val="0"/>
          <w:bCs/>
          <w:sz w:val="24"/>
          <w:szCs w:val="24"/>
        </w:rPr>
        <w:t>g</w:t>
      </w:r>
      <w:r w:rsidRPr="00EA0946">
        <w:rPr>
          <w:b w:val="0"/>
          <w:bCs/>
          <w:sz w:val="24"/>
          <w:szCs w:val="24"/>
        </w:rPr>
        <w:t xml:space="preserve">e of any belongings not able to be taken to the new home </w:t>
      </w:r>
    </w:p>
    <w:p w14:paraId="583F8636" w14:textId="77777777" w:rsidR="00361C72" w:rsidRPr="00361C72" w:rsidRDefault="00361C72" w:rsidP="00361C72"/>
    <w:p w14:paraId="2C25556D" w14:textId="122C3E63" w:rsidR="00361C72" w:rsidRPr="00361C72" w:rsidRDefault="00F26AD4" w:rsidP="00361C72">
      <w:pPr>
        <w:pStyle w:val="Heading2"/>
        <w:numPr>
          <w:ilvl w:val="0"/>
          <w:numId w:val="37"/>
        </w:numPr>
      </w:pPr>
      <w:r w:rsidRPr="00361C72">
        <w:rPr>
          <w:b w:val="0"/>
          <w:bCs/>
          <w:sz w:val="24"/>
          <w:szCs w:val="24"/>
        </w:rPr>
        <w:lastRenderedPageBreak/>
        <w:t xml:space="preserve">refitting alarms </w:t>
      </w:r>
    </w:p>
    <w:p w14:paraId="0BFF8FC4" w14:textId="6D5F37F9" w:rsidR="00F26AD4" w:rsidRPr="00EA0946" w:rsidRDefault="00F26AD4" w:rsidP="00361C72">
      <w:pPr>
        <w:pStyle w:val="Heading2"/>
        <w:numPr>
          <w:ilvl w:val="0"/>
          <w:numId w:val="37"/>
        </w:numPr>
        <w:rPr>
          <w:b w:val="0"/>
          <w:bCs/>
          <w:sz w:val="24"/>
          <w:szCs w:val="24"/>
        </w:rPr>
      </w:pPr>
      <w:r w:rsidRPr="00EA0946">
        <w:rPr>
          <w:b w:val="0"/>
          <w:bCs/>
          <w:sz w:val="24"/>
          <w:szCs w:val="24"/>
        </w:rPr>
        <w:t xml:space="preserve">help towards the necessary costs of redecoration </w:t>
      </w:r>
    </w:p>
    <w:p w14:paraId="1ED580EA" w14:textId="26D5D926" w:rsidR="00F26AD4" w:rsidRPr="00EA0946" w:rsidRDefault="00F26AD4" w:rsidP="00361C72">
      <w:pPr>
        <w:pStyle w:val="ListParagraph"/>
        <w:numPr>
          <w:ilvl w:val="0"/>
          <w:numId w:val="37"/>
        </w:numPr>
        <w:rPr>
          <w:sz w:val="24"/>
          <w:szCs w:val="24"/>
        </w:rPr>
      </w:pPr>
      <w:r w:rsidRPr="00EA0946">
        <w:rPr>
          <w:bCs/>
          <w:sz w:val="24"/>
          <w:szCs w:val="24"/>
        </w:rPr>
        <w:t>kennelling of pets</w:t>
      </w:r>
      <w:r w:rsidRPr="00EA0946">
        <w:rPr>
          <w:sz w:val="24"/>
          <w:szCs w:val="24"/>
        </w:rPr>
        <w:t xml:space="preserve"> </w:t>
      </w:r>
    </w:p>
    <w:p w14:paraId="0A11A159" w14:textId="0F728489" w:rsidR="000C3082" w:rsidRPr="00EA0946" w:rsidRDefault="002D27EF" w:rsidP="00EA0946">
      <w:pPr>
        <w:pStyle w:val="Heading2"/>
        <w:numPr>
          <w:ilvl w:val="0"/>
          <w:numId w:val="32"/>
        </w:numPr>
        <w:rPr>
          <w:sz w:val="24"/>
          <w:szCs w:val="24"/>
        </w:rPr>
      </w:pPr>
      <w:r w:rsidRPr="00EA0946">
        <w:rPr>
          <w:sz w:val="24"/>
          <w:szCs w:val="24"/>
        </w:rPr>
        <w:t xml:space="preserve">Security of tenure </w:t>
      </w:r>
    </w:p>
    <w:p w14:paraId="6167987D" w14:textId="332D3FA3" w:rsidR="000C3082" w:rsidRPr="00EA0946" w:rsidRDefault="002D27EF">
      <w:pPr>
        <w:ind w:left="-3" w:right="0"/>
        <w:rPr>
          <w:sz w:val="24"/>
          <w:szCs w:val="24"/>
        </w:rPr>
      </w:pPr>
      <w:r w:rsidRPr="00EA0946">
        <w:rPr>
          <w:sz w:val="24"/>
          <w:szCs w:val="24"/>
        </w:rPr>
        <w:t xml:space="preserve">The tenant will </w:t>
      </w:r>
      <w:r w:rsidR="00962CFF" w:rsidRPr="00EA0946">
        <w:rPr>
          <w:sz w:val="24"/>
          <w:szCs w:val="24"/>
        </w:rPr>
        <w:t xml:space="preserve">retain security of tenure on their permanent home. In respect of the temporary decant property, the tenant may be asked to sign an agreement regarding their stay and will be afforded most of the same rights as they hold in their permanent home.   </w:t>
      </w:r>
    </w:p>
    <w:p w14:paraId="59C56F59" w14:textId="1E274290" w:rsidR="00DD723C" w:rsidRPr="00EA0946" w:rsidRDefault="00EA0946" w:rsidP="00EA0946">
      <w:pPr>
        <w:pStyle w:val="ListParagraph"/>
        <w:numPr>
          <w:ilvl w:val="0"/>
          <w:numId w:val="32"/>
        </w:numPr>
        <w:ind w:right="0"/>
        <w:rPr>
          <w:b/>
          <w:bCs/>
          <w:sz w:val="24"/>
          <w:szCs w:val="24"/>
        </w:rPr>
      </w:pPr>
      <w:r>
        <w:rPr>
          <w:b/>
          <w:bCs/>
          <w:sz w:val="24"/>
          <w:szCs w:val="24"/>
        </w:rPr>
        <w:t xml:space="preserve"> </w:t>
      </w:r>
      <w:r w:rsidR="00A6552C" w:rsidRPr="00EA0946">
        <w:rPr>
          <w:b/>
          <w:bCs/>
          <w:sz w:val="24"/>
          <w:szCs w:val="24"/>
        </w:rPr>
        <w:t xml:space="preserve">Monitoring and </w:t>
      </w:r>
      <w:r w:rsidR="00DD723C" w:rsidRPr="00EA0946">
        <w:rPr>
          <w:b/>
          <w:bCs/>
          <w:sz w:val="24"/>
          <w:szCs w:val="24"/>
        </w:rPr>
        <w:t xml:space="preserve">Review </w:t>
      </w:r>
    </w:p>
    <w:p w14:paraId="1CAE84E0" w14:textId="62482D4D" w:rsidR="00A6552C" w:rsidRPr="00EA0946" w:rsidRDefault="00A6552C" w:rsidP="00DD723C">
      <w:pPr>
        <w:ind w:left="-3" w:right="0"/>
        <w:rPr>
          <w:sz w:val="24"/>
          <w:szCs w:val="24"/>
        </w:rPr>
      </w:pPr>
      <w:r w:rsidRPr="00EA0946">
        <w:rPr>
          <w:sz w:val="24"/>
          <w:szCs w:val="24"/>
        </w:rPr>
        <w:t>The Assistant Director – Strategic Housing is responsible for monitoring the implementation of this policy.</w:t>
      </w:r>
    </w:p>
    <w:p w14:paraId="624BEAC7" w14:textId="0BEDB3F9" w:rsidR="00EA0946" w:rsidRPr="00EA0946" w:rsidRDefault="00DD723C" w:rsidP="00DD723C">
      <w:pPr>
        <w:ind w:left="-3" w:right="0"/>
        <w:rPr>
          <w:sz w:val="24"/>
          <w:szCs w:val="24"/>
        </w:rPr>
      </w:pPr>
      <w:r w:rsidRPr="00EA0946">
        <w:rPr>
          <w:sz w:val="24"/>
          <w:szCs w:val="24"/>
        </w:rPr>
        <w:t>The policy will be reviewed every three years in consultation with tenant representatives, staff and other stakeholders unless there are any reasons, such as legislative changes, requiring that it be reviewed earlier.</w:t>
      </w:r>
      <w:r w:rsidR="00EA0946">
        <w:rPr>
          <w:sz w:val="24"/>
          <w:szCs w:val="24"/>
        </w:rPr>
        <w:t xml:space="preserve"> </w:t>
      </w:r>
    </w:p>
    <w:sectPr w:rsidR="00EA0946" w:rsidRPr="00EA0946">
      <w:headerReference w:type="even" r:id="rId8"/>
      <w:headerReference w:type="default" r:id="rId9"/>
      <w:footerReference w:type="even" r:id="rId10"/>
      <w:footerReference w:type="default" r:id="rId11"/>
      <w:headerReference w:type="first" r:id="rId12"/>
      <w:footerReference w:type="first" r:id="rId13"/>
      <w:pgSz w:w="11904" w:h="16840"/>
      <w:pgMar w:top="1442" w:right="1432" w:bottom="1455"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EC83" w14:textId="77777777" w:rsidR="00E24F22" w:rsidRDefault="00E24F22" w:rsidP="00B117D5">
      <w:pPr>
        <w:spacing w:after="0" w:line="240" w:lineRule="auto"/>
      </w:pPr>
      <w:r>
        <w:separator/>
      </w:r>
    </w:p>
  </w:endnote>
  <w:endnote w:type="continuationSeparator" w:id="0">
    <w:p w14:paraId="4E50B086" w14:textId="77777777" w:rsidR="00E24F22" w:rsidRDefault="00E24F22" w:rsidP="00B1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A2DE" w14:textId="77777777" w:rsidR="00C827B1" w:rsidRDefault="00C8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8AB" w14:textId="77777777" w:rsidR="00C827B1" w:rsidRDefault="00C82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427" w14:textId="77777777" w:rsidR="00C827B1" w:rsidRDefault="00C8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F9E4" w14:textId="77777777" w:rsidR="00E24F22" w:rsidRDefault="00E24F22" w:rsidP="00B117D5">
      <w:pPr>
        <w:spacing w:after="0" w:line="240" w:lineRule="auto"/>
      </w:pPr>
      <w:r>
        <w:separator/>
      </w:r>
    </w:p>
  </w:footnote>
  <w:footnote w:type="continuationSeparator" w:id="0">
    <w:p w14:paraId="027BD9C1" w14:textId="77777777" w:rsidR="00E24F22" w:rsidRDefault="00E24F22" w:rsidP="00B1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87A2" w14:textId="367997BC" w:rsidR="00C827B1" w:rsidRDefault="00C82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B284" w14:textId="71BECAA8" w:rsidR="00C827B1" w:rsidRDefault="00C82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9140" w14:textId="07FAAADD" w:rsidR="00C827B1" w:rsidRDefault="00C8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4A"/>
    <w:multiLevelType w:val="hybridMultilevel"/>
    <w:tmpl w:val="C31800C4"/>
    <w:lvl w:ilvl="0" w:tplc="F920C8BE">
      <w:start w:val="1"/>
      <w:numFmt w:val="bullet"/>
      <w:lvlText w:val="-"/>
      <w:lvlJc w:val="left"/>
      <w:pPr>
        <w:ind w:left="361" w:hanging="360"/>
      </w:pPr>
      <w:rPr>
        <w:rFonts w:ascii="Arial" w:eastAsia="Arial" w:hAnsi="Arial" w:cs="Aria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01A25A7A"/>
    <w:multiLevelType w:val="hybridMultilevel"/>
    <w:tmpl w:val="6A0A68AE"/>
    <w:lvl w:ilvl="0" w:tplc="7E80797A">
      <w:start w:val="1"/>
      <w:numFmt w:val="bullet"/>
      <w:lvlText w:val="-"/>
      <w:lvlJc w:val="left"/>
      <w:pPr>
        <w:ind w:left="348" w:hanging="360"/>
      </w:pPr>
      <w:rPr>
        <w:rFonts w:ascii="Arial" w:eastAsia="Arial" w:hAnsi="Arial" w:cs="Aria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0880344E"/>
    <w:multiLevelType w:val="hybridMultilevel"/>
    <w:tmpl w:val="935E1174"/>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 w15:restartNumberingAfterBreak="0">
    <w:nsid w:val="0AD705E1"/>
    <w:multiLevelType w:val="hybridMultilevel"/>
    <w:tmpl w:val="E3AE171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0C9F5E59"/>
    <w:multiLevelType w:val="hybridMultilevel"/>
    <w:tmpl w:val="6DCEDD46"/>
    <w:lvl w:ilvl="0" w:tplc="822655C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9404F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2E331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4221A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E6BC7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D2B1A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FC082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F4D1C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B8316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245D4"/>
    <w:multiLevelType w:val="hybridMultilevel"/>
    <w:tmpl w:val="4D10CBA6"/>
    <w:lvl w:ilvl="0" w:tplc="3036DA40">
      <w:start w:val="1"/>
      <w:numFmt w:val="bullet"/>
      <w:lvlText w:val=""/>
      <w:lvlJc w:val="left"/>
      <w:pPr>
        <w:ind w:left="7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561F1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AE5B2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8E536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376E8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9A4D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B2792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629E8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FE383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C56B4"/>
    <w:multiLevelType w:val="hybridMultilevel"/>
    <w:tmpl w:val="86D28EB4"/>
    <w:lvl w:ilvl="0" w:tplc="7E80797A">
      <w:start w:val="1"/>
      <w:numFmt w:val="bullet"/>
      <w:lvlText w:val="-"/>
      <w:lvlJc w:val="left"/>
      <w:pPr>
        <w:ind w:left="1080" w:hanging="360"/>
      </w:pPr>
      <w:rPr>
        <w:rFonts w:ascii="Arial" w:eastAsia="Arial" w:hAnsi="Arial" w:cs="Arial" w:hint="default"/>
      </w:rPr>
    </w:lvl>
    <w:lvl w:ilvl="1" w:tplc="FFFFFFFF" w:tentative="1">
      <w:start w:val="1"/>
      <w:numFmt w:val="bullet"/>
      <w:lvlText w:val="o"/>
      <w:lvlJc w:val="left"/>
      <w:pPr>
        <w:ind w:left="2186" w:hanging="360"/>
      </w:pPr>
      <w:rPr>
        <w:rFonts w:ascii="Courier New" w:hAnsi="Courier New" w:cs="Courier New" w:hint="default"/>
      </w:rPr>
    </w:lvl>
    <w:lvl w:ilvl="2" w:tplc="FFFFFFFF" w:tentative="1">
      <w:start w:val="1"/>
      <w:numFmt w:val="bullet"/>
      <w:lvlText w:val=""/>
      <w:lvlJc w:val="left"/>
      <w:pPr>
        <w:ind w:left="2906" w:hanging="360"/>
      </w:pPr>
      <w:rPr>
        <w:rFonts w:ascii="Wingdings" w:hAnsi="Wingdings" w:hint="default"/>
      </w:rPr>
    </w:lvl>
    <w:lvl w:ilvl="3" w:tplc="FFFFFFFF" w:tentative="1">
      <w:start w:val="1"/>
      <w:numFmt w:val="bullet"/>
      <w:lvlText w:val=""/>
      <w:lvlJc w:val="left"/>
      <w:pPr>
        <w:ind w:left="3626" w:hanging="360"/>
      </w:pPr>
      <w:rPr>
        <w:rFonts w:ascii="Symbol" w:hAnsi="Symbol" w:hint="default"/>
      </w:rPr>
    </w:lvl>
    <w:lvl w:ilvl="4" w:tplc="FFFFFFFF" w:tentative="1">
      <w:start w:val="1"/>
      <w:numFmt w:val="bullet"/>
      <w:lvlText w:val="o"/>
      <w:lvlJc w:val="left"/>
      <w:pPr>
        <w:ind w:left="4346" w:hanging="360"/>
      </w:pPr>
      <w:rPr>
        <w:rFonts w:ascii="Courier New" w:hAnsi="Courier New" w:cs="Courier New" w:hint="default"/>
      </w:rPr>
    </w:lvl>
    <w:lvl w:ilvl="5" w:tplc="FFFFFFFF" w:tentative="1">
      <w:start w:val="1"/>
      <w:numFmt w:val="bullet"/>
      <w:lvlText w:val=""/>
      <w:lvlJc w:val="left"/>
      <w:pPr>
        <w:ind w:left="5066" w:hanging="360"/>
      </w:pPr>
      <w:rPr>
        <w:rFonts w:ascii="Wingdings" w:hAnsi="Wingdings" w:hint="default"/>
      </w:rPr>
    </w:lvl>
    <w:lvl w:ilvl="6" w:tplc="FFFFFFFF" w:tentative="1">
      <w:start w:val="1"/>
      <w:numFmt w:val="bullet"/>
      <w:lvlText w:val=""/>
      <w:lvlJc w:val="left"/>
      <w:pPr>
        <w:ind w:left="5786" w:hanging="360"/>
      </w:pPr>
      <w:rPr>
        <w:rFonts w:ascii="Symbol" w:hAnsi="Symbol" w:hint="default"/>
      </w:rPr>
    </w:lvl>
    <w:lvl w:ilvl="7" w:tplc="FFFFFFFF" w:tentative="1">
      <w:start w:val="1"/>
      <w:numFmt w:val="bullet"/>
      <w:lvlText w:val="o"/>
      <w:lvlJc w:val="left"/>
      <w:pPr>
        <w:ind w:left="6506" w:hanging="360"/>
      </w:pPr>
      <w:rPr>
        <w:rFonts w:ascii="Courier New" w:hAnsi="Courier New" w:cs="Courier New" w:hint="default"/>
      </w:rPr>
    </w:lvl>
    <w:lvl w:ilvl="8" w:tplc="FFFFFFFF" w:tentative="1">
      <w:start w:val="1"/>
      <w:numFmt w:val="bullet"/>
      <w:lvlText w:val=""/>
      <w:lvlJc w:val="left"/>
      <w:pPr>
        <w:ind w:left="7226" w:hanging="360"/>
      </w:pPr>
      <w:rPr>
        <w:rFonts w:ascii="Wingdings" w:hAnsi="Wingdings" w:hint="default"/>
      </w:rPr>
    </w:lvl>
  </w:abstractNum>
  <w:abstractNum w:abstractNumId="7" w15:restartNumberingAfterBreak="0">
    <w:nsid w:val="24C547EE"/>
    <w:multiLevelType w:val="hybridMultilevel"/>
    <w:tmpl w:val="761226D4"/>
    <w:lvl w:ilvl="0" w:tplc="DD5EFB1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12DA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EA434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160D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C40CF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7242E8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46233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CE90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C2A9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7337A7"/>
    <w:multiLevelType w:val="hybridMultilevel"/>
    <w:tmpl w:val="457C3798"/>
    <w:lvl w:ilvl="0" w:tplc="B7664464">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9" w15:restartNumberingAfterBreak="0">
    <w:nsid w:val="3596787B"/>
    <w:multiLevelType w:val="hybridMultilevel"/>
    <w:tmpl w:val="CA5A91F0"/>
    <w:lvl w:ilvl="0" w:tplc="09683BD6">
      <w:start w:val="1"/>
      <w:numFmt w:val="lowerLetter"/>
      <w:lvlText w:val="%1)"/>
      <w:lvlJc w:val="left"/>
      <w:pPr>
        <w:ind w:left="24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3BC1A3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91E8C5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006B8E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7CE33C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094472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7C2691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DE017C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1A4567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C3174D"/>
    <w:multiLevelType w:val="hybridMultilevel"/>
    <w:tmpl w:val="9220483E"/>
    <w:lvl w:ilvl="0" w:tplc="7E80797A">
      <w:start w:val="1"/>
      <w:numFmt w:val="bullet"/>
      <w:lvlText w:val="-"/>
      <w:lvlJc w:val="left"/>
      <w:pPr>
        <w:ind w:left="334" w:hanging="360"/>
      </w:pPr>
      <w:rPr>
        <w:rFonts w:ascii="Arial" w:eastAsia="Arial" w:hAnsi="Arial" w:cs="Aria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1" w15:restartNumberingAfterBreak="0">
    <w:nsid w:val="374106E1"/>
    <w:multiLevelType w:val="hybridMultilevel"/>
    <w:tmpl w:val="43B8612E"/>
    <w:lvl w:ilvl="0" w:tplc="90E2C57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4A3A8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08A25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A802A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9A08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9E5B6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5673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3E60E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1A958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0D5950"/>
    <w:multiLevelType w:val="hybridMultilevel"/>
    <w:tmpl w:val="A702A660"/>
    <w:lvl w:ilvl="0" w:tplc="7E80797A">
      <w:start w:val="1"/>
      <w:numFmt w:val="bullet"/>
      <w:lvlText w:val="-"/>
      <w:lvlJc w:val="left"/>
      <w:pPr>
        <w:ind w:left="347"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11D06"/>
    <w:multiLevelType w:val="hybridMultilevel"/>
    <w:tmpl w:val="53BCE84C"/>
    <w:lvl w:ilvl="0" w:tplc="72DA76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805E4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4C746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0E984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52A6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5A18A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B0A9D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8296E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E259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F0748D"/>
    <w:multiLevelType w:val="hybridMultilevel"/>
    <w:tmpl w:val="2DACABE2"/>
    <w:lvl w:ilvl="0" w:tplc="6A607CF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44530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A4AF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FC3B6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72861E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BA63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B6D5B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40428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3F02D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9C00DA"/>
    <w:multiLevelType w:val="hybridMultilevel"/>
    <w:tmpl w:val="97E260CA"/>
    <w:lvl w:ilvl="0" w:tplc="B61E292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4CB98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D23D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70A6D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DEBE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608C7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126B3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8870E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BE773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EE0778"/>
    <w:multiLevelType w:val="hybridMultilevel"/>
    <w:tmpl w:val="223CAF46"/>
    <w:lvl w:ilvl="0" w:tplc="CB8A0C46">
      <w:start w:val="1"/>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6A49B5"/>
    <w:multiLevelType w:val="hybridMultilevel"/>
    <w:tmpl w:val="EABAA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E32A1"/>
    <w:multiLevelType w:val="hybridMultilevel"/>
    <w:tmpl w:val="22904AB8"/>
    <w:lvl w:ilvl="0" w:tplc="E8BE471C">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40D3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DCE8A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72BF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0079E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040E8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E4B82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06A9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BCD6B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2E40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C24E72"/>
    <w:multiLevelType w:val="hybridMultilevel"/>
    <w:tmpl w:val="3EBC4116"/>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1" w15:restartNumberingAfterBreak="0">
    <w:nsid w:val="55D21789"/>
    <w:multiLevelType w:val="hybridMultilevel"/>
    <w:tmpl w:val="47BC450C"/>
    <w:lvl w:ilvl="0" w:tplc="444A182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0C30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4C2A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3AA14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460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EAD2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A462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D8D94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FC23A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0F2F8C"/>
    <w:multiLevelType w:val="hybridMultilevel"/>
    <w:tmpl w:val="0BD08C20"/>
    <w:lvl w:ilvl="0" w:tplc="08090001">
      <w:start w:val="1"/>
      <w:numFmt w:val="bullet"/>
      <w:lvlText w:val=""/>
      <w:lvlJc w:val="left"/>
      <w:pPr>
        <w:ind w:left="34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B28EA"/>
    <w:multiLevelType w:val="hybridMultilevel"/>
    <w:tmpl w:val="B9D48018"/>
    <w:lvl w:ilvl="0" w:tplc="7E80797A">
      <w:start w:val="1"/>
      <w:numFmt w:val="bullet"/>
      <w:lvlText w:val="-"/>
      <w:lvlJc w:val="left"/>
      <w:pPr>
        <w:ind w:left="321" w:hanging="360"/>
      </w:pPr>
      <w:rPr>
        <w:rFonts w:ascii="Arial" w:eastAsia="Arial" w:hAnsi="Arial" w:cs="Aria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4" w15:restartNumberingAfterBreak="0">
    <w:nsid w:val="59974691"/>
    <w:multiLevelType w:val="hybridMultilevel"/>
    <w:tmpl w:val="EF5E8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74F5A"/>
    <w:multiLevelType w:val="hybridMultilevel"/>
    <w:tmpl w:val="E47C122E"/>
    <w:lvl w:ilvl="0" w:tplc="7E80797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4548F"/>
    <w:multiLevelType w:val="hybridMultilevel"/>
    <w:tmpl w:val="5DB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9259B"/>
    <w:multiLevelType w:val="hybridMultilevel"/>
    <w:tmpl w:val="B0FC555E"/>
    <w:lvl w:ilvl="0" w:tplc="7E80797A">
      <w:start w:val="1"/>
      <w:numFmt w:val="bullet"/>
      <w:lvlText w:val="-"/>
      <w:lvlJc w:val="left"/>
      <w:pPr>
        <w:ind w:left="334" w:hanging="360"/>
      </w:pPr>
      <w:rPr>
        <w:rFonts w:ascii="Arial" w:eastAsia="Arial" w:hAnsi="Arial" w:cs="Aria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8" w15:restartNumberingAfterBreak="0">
    <w:nsid w:val="65D978FC"/>
    <w:multiLevelType w:val="hybridMultilevel"/>
    <w:tmpl w:val="9C3A09CA"/>
    <w:lvl w:ilvl="0" w:tplc="7E80797A">
      <w:start w:val="1"/>
      <w:numFmt w:val="bullet"/>
      <w:lvlText w:val="-"/>
      <w:lvlJc w:val="left"/>
      <w:pPr>
        <w:ind w:left="347" w:hanging="360"/>
      </w:pPr>
      <w:rPr>
        <w:rFonts w:ascii="Arial" w:eastAsia="Arial" w:hAnsi="Arial" w:cs="Arial" w:hint="default"/>
      </w:rPr>
    </w:lvl>
    <w:lvl w:ilvl="1" w:tplc="08090003" w:tentative="1">
      <w:start w:val="1"/>
      <w:numFmt w:val="bullet"/>
      <w:lvlText w:val="o"/>
      <w:lvlJc w:val="left"/>
      <w:pPr>
        <w:ind w:left="1067" w:hanging="360"/>
      </w:pPr>
      <w:rPr>
        <w:rFonts w:ascii="Courier New" w:hAnsi="Courier New" w:cs="Courier New" w:hint="default"/>
      </w:rPr>
    </w:lvl>
    <w:lvl w:ilvl="2" w:tplc="08090005" w:tentative="1">
      <w:start w:val="1"/>
      <w:numFmt w:val="bullet"/>
      <w:lvlText w:val=""/>
      <w:lvlJc w:val="left"/>
      <w:pPr>
        <w:ind w:left="1787" w:hanging="360"/>
      </w:pPr>
      <w:rPr>
        <w:rFonts w:ascii="Wingdings" w:hAnsi="Wingdings" w:hint="default"/>
      </w:rPr>
    </w:lvl>
    <w:lvl w:ilvl="3" w:tplc="08090001" w:tentative="1">
      <w:start w:val="1"/>
      <w:numFmt w:val="bullet"/>
      <w:lvlText w:val=""/>
      <w:lvlJc w:val="left"/>
      <w:pPr>
        <w:ind w:left="2507" w:hanging="360"/>
      </w:pPr>
      <w:rPr>
        <w:rFonts w:ascii="Symbol" w:hAnsi="Symbol" w:hint="default"/>
      </w:rPr>
    </w:lvl>
    <w:lvl w:ilvl="4" w:tplc="08090003" w:tentative="1">
      <w:start w:val="1"/>
      <w:numFmt w:val="bullet"/>
      <w:lvlText w:val="o"/>
      <w:lvlJc w:val="left"/>
      <w:pPr>
        <w:ind w:left="3227" w:hanging="360"/>
      </w:pPr>
      <w:rPr>
        <w:rFonts w:ascii="Courier New" w:hAnsi="Courier New" w:cs="Courier New" w:hint="default"/>
      </w:rPr>
    </w:lvl>
    <w:lvl w:ilvl="5" w:tplc="08090005" w:tentative="1">
      <w:start w:val="1"/>
      <w:numFmt w:val="bullet"/>
      <w:lvlText w:val=""/>
      <w:lvlJc w:val="left"/>
      <w:pPr>
        <w:ind w:left="3947" w:hanging="360"/>
      </w:pPr>
      <w:rPr>
        <w:rFonts w:ascii="Wingdings" w:hAnsi="Wingdings" w:hint="default"/>
      </w:rPr>
    </w:lvl>
    <w:lvl w:ilvl="6" w:tplc="08090001" w:tentative="1">
      <w:start w:val="1"/>
      <w:numFmt w:val="bullet"/>
      <w:lvlText w:val=""/>
      <w:lvlJc w:val="left"/>
      <w:pPr>
        <w:ind w:left="4667" w:hanging="360"/>
      </w:pPr>
      <w:rPr>
        <w:rFonts w:ascii="Symbol" w:hAnsi="Symbol" w:hint="default"/>
      </w:rPr>
    </w:lvl>
    <w:lvl w:ilvl="7" w:tplc="08090003" w:tentative="1">
      <w:start w:val="1"/>
      <w:numFmt w:val="bullet"/>
      <w:lvlText w:val="o"/>
      <w:lvlJc w:val="left"/>
      <w:pPr>
        <w:ind w:left="5387" w:hanging="360"/>
      </w:pPr>
      <w:rPr>
        <w:rFonts w:ascii="Courier New" w:hAnsi="Courier New" w:cs="Courier New" w:hint="default"/>
      </w:rPr>
    </w:lvl>
    <w:lvl w:ilvl="8" w:tplc="08090005" w:tentative="1">
      <w:start w:val="1"/>
      <w:numFmt w:val="bullet"/>
      <w:lvlText w:val=""/>
      <w:lvlJc w:val="left"/>
      <w:pPr>
        <w:ind w:left="6107" w:hanging="360"/>
      </w:pPr>
      <w:rPr>
        <w:rFonts w:ascii="Wingdings" w:hAnsi="Wingdings" w:hint="default"/>
      </w:rPr>
    </w:lvl>
  </w:abstractNum>
  <w:abstractNum w:abstractNumId="29" w15:restartNumberingAfterBreak="0">
    <w:nsid w:val="66440713"/>
    <w:multiLevelType w:val="hybridMultilevel"/>
    <w:tmpl w:val="D97AD5AA"/>
    <w:lvl w:ilvl="0" w:tplc="7E80797A">
      <w:start w:val="1"/>
      <w:numFmt w:val="bullet"/>
      <w:lvlText w:val="-"/>
      <w:lvlJc w:val="left"/>
      <w:pPr>
        <w:ind w:left="717" w:hanging="360"/>
      </w:pPr>
      <w:rPr>
        <w:rFonts w:ascii="Arial" w:eastAsia="Arial" w:hAnsi="Arial" w:cs="Arial" w:hint="default"/>
      </w:rPr>
    </w:lvl>
    <w:lvl w:ilvl="1" w:tplc="FFFFFFFF" w:tentative="1">
      <w:start w:val="1"/>
      <w:numFmt w:val="bullet"/>
      <w:lvlText w:val="o"/>
      <w:lvlJc w:val="left"/>
      <w:pPr>
        <w:ind w:left="1810" w:hanging="360"/>
      </w:pPr>
      <w:rPr>
        <w:rFonts w:ascii="Courier New" w:hAnsi="Courier New" w:cs="Courier New" w:hint="default"/>
      </w:rPr>
    </w:lvl>
    <w:lvl w:ilvl="2" w:tplc="FFFFFFFF" w:tentative="1">
      <w:start w:val="1"/>
      <w:numFmt w:val="bullet"/>
      <w:lvlText w:val=""/>
      <w:lvlJc w:val="left"/>
      <w:pPr>
        <w:ind w:left="2530" w:hanging="360"/>
      </w:pPr>
      <w:rPr>
        <w:rFonts w:ascii="Wingdings" w:hAnsi="Wingdings" w:hint="default"/>
      </w:rPr>
    </w:lvl>
    <w:lvl w:ilvl="3" w:tplc="FFFFFFFF" w:tentative="1">
      <w:start w:val="1"/>
      <w:numFmt w:val="bullet"/>
      <w:lvlText w:val=""/>
      <w:lvlJc w:val="left"/>
      <w:pPr>
        <w:ind w:left="3250" w:hanging="360"/>
      </w:pPr>
      <w:rPr>
        <w:rFonts w:ascii="Symbol" w:hAnsi="Symbol" w:hint="default"/>
      </w:rPr>
    </w:lvl>
    <w:lvl w:ilvl="4" w:tplc="FFFFFFFF" w:tentative="1">
      <w:start w:val="1"/>
      <w:numFmt w:val="bullet"/>
      <w:lvlText w:val="o"/>
      <w:lvlJc w:val="left"/>
      <w:pPr>
        <w:ind w:left="3970" w:hanging="360"/>
      </w:pPr>
      <w:rPr>
        <w:rFonts w:ascii="Courier New" w:hAnsi="Courier New" w:cs="Courier New" w:hint="default"/>
      </w:rPr>
    </w:lvl>
    <w:lvl w:ilvl="5" w:tplc="FFFFFFFF" w:tentative="1">
      <w:start w:val="1"/>
      <w:numFmt w:val="bullet"/>
      <w:lvlText w:val=""/>
      <w:lvlJc w:val="left"/>
      <w:pPr>
        <w:ind w:left="4690" w:hanging="360"/>
      </w:pPr>
      <w:rPr>
        <w:rFonts w:ascii="Wingdings" w:hAnsi="Wingdings" w:hint="default"/>
      </w:rPr>
    </w:lvl>
    <w:lvl w:ilvl="6" w:tplc="FFFFFFFF" w:tentative="1">
      <w:start w:val="1"/>
      <w:numFmt w:val="bullet"/>
      <w:lvlText w:val=""/>
      <w:lvlJc w:val="left"/>
      <w:pPr>
        <w:ind w:left="5410" w:hanging="360"/>
      </w:pPr>
      <w:rPr>
        <w:rFonts w:ascii="Symbol" w:hAnsi="Symbol" w:hint="default"/>
      </w:rPr>
    </w:lvl>
    <w:lvl w:ilvl="7" w:tplc="FFFFFFFF" w:tentative="1">
      <w:start w:val="1"/>
      <w:numFmt w:val="bullet"/>
      <w:lvlText w:val="o"/>
      <w:lvlJc w:val="left"/>
      <w:pPr>
        <w:ind w:left="6130" w:hanging="360"/>
      </w:pPr>
      <w:rPr>
        <w:rFonts w:ascii="Courier New" w:hAnsi="Courier New" w:cs="Courier New" w:hint="default"/>
      </w:rPr>
    </w:lvl>
    <w:lvl w:ilvl="8" w:tplc="FFFFFFFF" w:tentative="1">
      <w:start w:val="1"/>
      <w:numFmt w:val="bullet"/>
      <w:lvlText w:val=""/>
      <w:lvlJc w:val="left"/>
      <w:pPr>
        <w:ind w:left="6850" w:hanging="360"/>
      </w:pPr>
      <w:rPr>
        <w:rFonts w:ascii="Wingdings" w:hAnsi="Wingdings" w:hint="default"/>
      </w:rPr>
    </w:lvl>
  </w:abstractNum>
  <w:abstractNum w:abstractNumId="30" w15:restartNumberingAfterBreak="0">
    <w:nsid w:val="69D84FD4"/>
    <w:multiLevelType w:val="hybridMultilevel"/>
    <w:tmpl w:val="A29EF316"/>
    <w:lvl w:ilvl="0" w:tplc="478418F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94DC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3823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A0569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329F4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A49A5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66E29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1662E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BEFA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5D7C5D"/>
    <w:multiLevelType w:val="hybridMultilevel"/>
    <w:tmpl w:val="35FA0B18"/>
    <w:lvl w:ilvl="0" w:tplc="08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810" w:hanging="360"/>
      </w:pPr>
      <w:rPr>
        <w:rFonts w:ascii="Courier New" w:hAnsi="Courier New" w:cs="Courier New" w:hint="default"/>
      </w:rPr>
    </w:lvl>
    <w:lvl w:ilvl="2" w:tplc="FFFFFFFF" w:tentative="1">
      <w:start w:val="1"/>
      <w:numFmt w:val="bullet"/>
      <w:lvlText w:val=""/>
      <w:lvlJc w:val="left"/>
      <w:pPr>
        <w:ind w:left="2530" w:hanging="360"/>
      </w:pPr>
      <w:rPr>
        <w:rFonts w:ascii="Wingdings" w:hAnsi="Wingdings" w:hint="default"/>
      </w:rPr>
    </w:lvl>
    <w:lvl w:ilvl="3" w:tplc="FFFFFFFF" w:tentative="1">
      <w:start w:val="1"/>
      <w:numFmt w:val="bullet"/>
      <w:lvlText w:val=""/>
      <w:lvlJc w:val="left"/>
      <w:pPr>
        <w:ind w:left="3250" w:hanging="360"/>
      </w:pPr>
      <w:rPr>
        <w:rFonts w:ascii="Symbol" w:hAnsi="Symbol" w:hint="default"/>
      </w:rPr>
    </w:lvl>
    <w:lvl w:ilvl="4" w:tplc="FFFFFFFF" w:tentative="1">
      <w:start w:val="1"/>
      <w:numFmt w:val="bullet"/>
      <w:lvlText w:val="o"/>
      <w:lvlJc w:val="left"/>
      <w:pPr>
        <w:ind w:left="3970" w:hanging="360"/>
      </w:pPr>
      <w:rPr>
        <w:rFonts w:ascii="Courier New" w:hAnsi="Courier New" w:cs="Courier New" w:hint="default"/>
      </w:rPr>
    </w:lvl>
    <w:lvl w:ilvl="5" w:tplc="FFFFFFFF" w:tentative="1">
      <w:start w:val="1"/>
      <w:numFmt w:val="bullet"/>
      <w:lvlText w:val=""/>
      <w:lvlJc w:val="left"/>
      <w:pPr>
        <w:ind w:left="4690" w:hanging="360"/>
      </w:pPr>
      <w:rPr>
        <w:rFonts w:ascii="Wingdings" w:hAnsi="Wingdings" w:hint="default"/>
      </w:rPr>
    </w:lvl>
    <w:lvl w:ilvl="6" w:tplc="FFFFFFFF" w:tentative="1">
      <w:start w:val="1"/>
      <w:numFmt w:val="bullet"/>
      <w:lvlText w:val=""/>
      <w:lvlJc w:val="left"/>
      <w:pPr>
        <w:ind w:left="5410" w:hanging="360"/>
      </w:pPr>
      <w:rPr>
        <w:rFonts w:ascii="Symbol" w:hAnsi="Symbol" w:hint="default"/>
      </w:rPr>
    </w:lvl>
    <w:lvl w:ilvl="7" w:tplc="FFFFFFFF" w:tentative="1">
      <w:start w:val="1"/>
      <w:numFmt w:val="bullet"/>
      <w:lvlText w:val="o"/>
      <w:lvlJc w:val="left"/>
      <w:pPr>
        <w:ind w:left="6130" w:hanging="360"/>
      </w:pPr>
      <w:rPr>
        <w:rFonts w:ascii="Courier New" w:hAnsi="Courier New" w:cs="Courier New" w:hint="default"/>
      </w:rPr>
    </w:lvl>
    <w:lvl w:ilvl="8" w:tplc="FFFFFFFF" w:tentative="1">
      <w:start w:val="1"/>
      <w:numFmt w:val="bullet"/>
      <w:lvlText w:val=""/>
      <w:lvlJc w:val="left"/>
      <w:pPr>
        <w:ind w:left="6850" w:hanging="360"/>
      </w:pPr>
      <w:rPr>
        <w:rFonts w:ascii="Wingdings" w:hAnsi="Wingdings" w:hint="default"/>
      </w:rPr>
    </w:lvl>
  </w:abstractNum>
  <w:abstractNum w:abstractNumId="32" w15:restartNumberingAfterBreak="0">
    <w:nsid w:val="70605897"/>
    <w:multiLevelType w:val="hybridMultilevel"/>
    <w:tmpl w:val="E2EE3F68"/>
    <w:lvl w:ilvl="0" w:tplc="DD36F4B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EA34E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8067B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3C1A6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9233F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9E5C2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648CA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4E0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D458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0652730"/>
    <w:multiLevelType w:val="hybridMultilevel"/>
    <w:tmpl w:val="C172D74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86" w:hanging="360"/>
      </w:pPr>
      <w:rPr>
        <w:rFonts w:ascii="Courier New" w:hAnsi="Courier New" w:cs="Courier New" w:hint="default"/>
      </w:rPr>
    </w:lvl>
    <w:lvl w:ilvl="2" w:tplc="FFFFFFFF" w:tentative="1">
      <w:start w:val="1"/>
      <w:numFmt w:val="bullet"/>
      <w:lvlText w:val=""/>
      <w:lvlJc w:val="left"/>
      <w:pPr>
        <w:ind w:left="2906" w:hanging="360"/>
      </w:pPr>
      <w:rPr>
        <w:rFonts w:ascii="Wingdings" w:hAnsi="Wingdings" w:hint="default"/>
      </w:rPr>
    </w:lvl>
    <w:lvl w:ilvl="3" w:tplc="FFFFFFFF" w:tentative="1">
      <w:start w:val="1"/>
      <w:numFmt w:val="bullet"/>
      <w:lvlText w:val=""/>
      <w:lvlJc w:val="left"/>
      <w:pPr>
        <w:ind w:left="3626" w:hanging="360"/>
      </w:pPr>
      <w:rPr>
        <w:rFonts w:ascii="Symbol" w:hAnsi="Symbol" w:hint="default"/>
      </w:rPr>
    </w:lvl>
    <w:lvl w:ilvl="4" w:tplc="FFFFFFFF" w:tentative="1">
      <w:start w:val="1"/>
      <w:numFmt w:val="bullet"/>
      <w:lvlText w:val="o"/>
      <w:lvlJc w:val="left"/>
      <w:pPr>
        <w:ind w:left="4346" w:hanging="360"/>
      </w:pPr>
      <w:rPr>
        <w:rFonts w:ascii="Courier New" w:hAnsi="Courier New" w:cs="Courier New" w:hint="default"/>
      </w:rPr>
    </w:lvl>
    <w:lvl w:ilvl="5" w:tplc="FFFFFFFF" w:tentative="1">
      <w:start w:val="1"/>
      <w:numFmt w:val="bullet"/>
      <w:lvlText w:val=""/>
      <w:lvlJc w:val="left"/>
      <w:pPr>
        <w:ind w:left="5066" w:hanging="360"/>
      </w:pPr>
      <w:rPr>
        <w:rFonts w:ascii="Wingdings" w:hAnsi="Wingdings" w:hint="default"/>
      </w:rPr>
    </w:lvl>
    <w:lvl w:ilvl="6" w:tplc="FFFFFFFF" w:tentative="1">
      <w:start w:val="1"/>
      <w:numFmt w:val="bullet"/>
      <w:lvlText w:val=""/>
      <w:lvlJc w:val="left"/>
      <w:pPr>
        <w:ind w:left="5786" w:hanging="360"/>
      </w:pPr>
      <w:rPr>
        <w:rFonts w:ascii="Symbol" w:hAnsi="Symbol" w:hint="default"/>
      </w:rPr>
    </w:lvl>
    <w:lvl w:ilvl="7" w:tplc="FFFFFFFF" w:tentative="1">
      <w:start w:val="1"/>
      <w:numFmt w:val="bullet"/>
      <w:lvlText w:val="o"/>
      <w:lvlJc w:val="left"/>
      <w:pPr>
        <w:ind w:left="6506" w:hanging="360"/>
      </w:pPr>
      <w:rPr>
        <w:rFonts w:ascii="Courier New" w:hAnsi="Courier New" w:cs="Courier New" w:hint="default"/>
      </w:rPr>
    </w:lvl>
    <w:lvl w:ilvl="8" w:tplc="FFFFFFFF" w:tentative="1">
      <w:start w:val="1"/>
      <w:numFmt w:val="bullet"/>
      <w:lvlText w:val=""/>
      <w:lvlJc w:val="left"/>
      <w:pPr>
        <w:ind w:left="7226" w:hanging="360"/>
      </w:pPr>
      <w:rPr>
        <w:rFonts w:ascii="Wingdings" w:hAnsi="Wingdings" w:hint="default"/>
      </w:rPr>
    </w:lvl>
  </w:abstractNum>
  <w:abstractNum w:abstractNumId="34" w15:restartNumberingAfterBreak="0">
    <w:nsid w:val="74AB1705"/>
    <w:multiLevelType w:val="hybridMultilevel"/>
    <w:tmpl w:val="C088CC82"/>
    <w:lvl w:ilvl="0" w:tplc="4286727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281F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DADE0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68022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22FD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1E0CD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40D5D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02D7D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0E3D6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53056B"/>
    <w:multiLevelType w:val="hybridMultilevel"/>
    <w:tmpl w:val="F10CFC4E"/>
    <w:lvl w:ilvl="0" w:tplc="C2BAE53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B8A1D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94F30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FC838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C0524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7252B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308F4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92CB4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F2C1A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A4206F"/>
    <w:multiLevelType w:val="hybridMultilevel"/>
    <w:tmpl w:val="E3968794"/>
    <w:lvl w:ilvl="0" w:tplc="7E80797A">
      <w:start w:val="1"/>
      <w:numFmt w:val="bullet"/>
      <w:lvlText w:val="-"/>
      <w:lvlJc w:val="left"/>
      <w:pPr>
        <w:ind w:left="1080" w:hanging="360"/>
      </w:pPr>
      <w:rPr>
        <w:rFonts w:ascii="Arial" w:eastAsia="Arial" w:hAnsi="Arial" w:cs="Arial" w:hint="default"/>
      </w:rPr>
    </w:lvl>
    <w:lvl w:ilvl="1" w:tplc="FFFFFFFF" w:tentative="1">
      <w:start w:val="1"/>
      <w:numFmt w:val="bullet"/>
      <w:lvlText w:val="o"/>
      <w:lvlJc w:val="left"/>
      <w:pPr>
        <w:ind w:left="2186" w:hanging="360"/>
      </w:pPr>
      <w:rPr>
        <w:rFonts w:ascii="Courier New" w:hAnsi="Courier New" w:cs="Courier New" w:hint="default"/>
      </w:rPr>
    </w:lvl>
    <w:lvl w:ilvl="2" w:tplc="FFFFFFFF" w:tentative="1">
      <w:start w:val="1"/>
      <w:numFmt w:val="bullet"/>
      <w:lvlText w:val=""/>
      <w:lvlJc w:val="left"/>
      <w:pPr>
        <w:ind w:left="2906" w:hanging="360"/>
      </w:pPr>
      <w:rPr>
        <w:rFonts w:ascii="Wingdings" w:hAnsi="Wingdings" w:hint="default"/>
      </w:rPr>
    </w:lvl>
    <w:lvl w:ilvl="3" w:tplc="FFFFFFFF" w:tentative="1">
      <w:start w:val="1"/>
      <w:numFmt w:val="bullet"/>
      <w:lvlText w:val=""/>
      <w:lvlJc w:val="left"/>
      <w:pPr>
        <w:ind w:left="3626" w:hanging="360"/>
      </w:pPr>
      <w:rPr>
        <w:rFonts w:ascii="Symbol" w:hAnsi="Symbol" w:hint="default"/>
      </w:rPr>
    </w:lvl>
    <w:lvl w:ilvl="4" w:tplc="FFFFFFFF" w:tentative="1">
      <w:start w:val="1"/>
      <w:numFmt w:val="bullet"/>
      <w:lvlText w:val="o"/>
      <w:lvlJc w:val="left"/>
      <w:pPr>
        <w:ind w:left="4346" w:hanging="360"/>
      </w:pPr>
      <w:rPr>
        <w:rFonts w:ascii="Courier New" w:hAnsi="Courier New" w:cs="Courier New" w:hint="default"/>
      </w:rPr>
    </w:lvl>
    <w:lvl w:ilvl="5" w:tplc="FFFFFFFF" w:tentative="1">
      <w:start w:val="1"/>
      <w:numFmt w:val="bullet"/>
      <w:lvlText w:val=""/>
      <w:lvlJc w:val="left"/>
      <w:pPr>
        <w:ind w:left="5066" w:hanging="360"/>
      </w:pPr>
      <w:rPr>
        <w:rFonts w:ascii="Wingdings" w:hAnsi="Wingdings" w:hint="default"/>
      </w:rPr>
    </w:lvl>
    <w:lvl w:ilvl="6" w:tplc="FFFFFFFF" w:tentative="1">
      <w:start w:val="1"/>
      <w:numFmt w:val="bullet"/>
      <w:lvlText w:val=""/>
      <w:lvlJc w:val="left"/>
      <w:pPr>
        <w:ind w:left="5786" w:hanging="360"/>
      </w:pPr>
      <w:rPr>
        <w:rFonts w:ascii="Symbol" w:hAnsi="Symbol" w:hint="default"/>
      </w:rPr>
    </w:lvl>
    <w:lvl w:ilvl="7" w:tplc="FFFFFFFF" w:tentative="1">
      <w:start w:val="1"/>
      <w:numFmt w:val="bullet"/>
      <w:lvlText w:val="o"/>
      <w:lvlJc w:val="left"/>
      <w:pPr>
        <w:ind w:left="6506" w:hanging="360"/>
      </w:pPr>
      <w:rPr>
        <w:rFonts w:ascii="Courier New" w:hAnsi="Courier New" w:cs="Courier New" w:hint="default"/>
      </w:rPr>
    </w:lvl>
    <w:lvl w:ilvl="8" w:tplc="FFFFFFFF" w:tentative="1">
      <w:start w:val="1"/>
      <w:numFmt w:val="bullet"/>
      <w:lvlText w:val=""/>
      <w:lvlJc w:val="left"/>
      <w:pPr>
        <w:ind w:left="7226" w:hanging="360"/>
      </w:pPr>
      <w:rPr>
        <w:rFonts w:ascii="Wingdings" w:hAnsi="Wingdings" w:hint="default"/>
      </w:rPr>
    </w:lvl>
  </w:abstractNum>
  <w:num w:numId="1" w16cid:durableId="181164682">
    <w:abstractNumId w:val="35"/>
  </w:num>
  <w:num w:numId="2" w16cid:durableId="2012103431">
    <w:abstractNumId w:val="7"/>
  </w:num>
  <w:num w:numId="3" w16cid:durableId="115026401">
    <w:abstractNumId w:val="18"/>
  </w:num>
  <w:num w:numId="4" w16cid:durableId="1295211784">
    <w:abstractNumId w:val="13"/>
  </w:num>
  <w:num w:numId="5" w16cid:durableId="1602955566">
    <w:abstractNumId w:val="32"/>
  </w:num>
  <w:num w:numId="6" w16cid:durableId="1467316617">
    <w:abstractNumId w:val="15"/>
  </w:num>
  <w:num w:numId="7" w16cid:durableId="69083278">
    <w:abstractNumId w:val="5"/>
  </w:num>
  <w:num w:numId="8" w16cid:durableId="282199793">
    <w:abstractNumId w:val="11"/>
  </w:num>
  <w:num w:numId="9" w16cid:durableId="1052273626">
    <w:abstractNumId w:val="34"/>
  </w:num>
  <w:num w:numId="10" w16cid:durableId="1747725109">
    <w:abstractNumId w:val="4"/>
  </w:num>
  <w:num w:numId="11" w16cid:durableId="1657756402">
    <w:abstractNumId w:val="21"/>
  </w:num>
  <w:num w:numId="12" w16cid:durableId="681081246">
    <w:abstractNumId w:val="9"/>
  </w:num>
  <w:num w:numId="13" w16cid:durableId="1503350255">
    <w:abstractNumId w:val="14"/>
  </w:num>
  <w:num w:numId="14" w16cid:durableId="557546549">
    <w:abstractNumId w:val="30"/>
  </w:num>
  <w:num w:numId="15" w16cid:durableId="1705447774">
    <w:abstractNumId w:val="2"/>
  </w:num>
  <w:num w:numId="16" w16cid:durableId="956109607">
    <w:abstractNumId w:val="26"/>
  </w:num>
  <w:num w:numId="17" w16cid:durableId="1018896818">
    <w:abstractNumId w:val="24"/>
  </w:num>
  <w:num w:numId="18" w16cid:durableId="899755432">
    <w:abstractNumId w:val="17"/>
  </w:num>
  <w:num w:numId="19" w16cid:durableId="1474442462">
    <w:abstractNumId w:val="16"/>
  </w:num>
  <w:num w:numId="20" w16cid:durableId="1515421040">
    <w:abstractNumId w:val="0"/>
  </w:num>
  <w:num w:numId="21" w16cid:durableId="1771118693">
    <w:abstractNumId w:val="3"/>
  </w:num>
  <w:num w:numId="22" w16cid:durableId="1605964000">
    <w:abstractNumId w:val="19"/>
  </w:num>
  <w:num w:numId="23" w16cid:durableId="463276284">
    <w:abstractNumId w:val="20"/>
  </w:num>
  <w:num w:numId="24" w16cid:durableId="1280380252">
    <w:abstractNumId w:val="28"/>
  </w:num>
  <w:num w:numId="25" w16cid:durableId="1319069083">
    <w:abstractNumId w:val="12"/>
  </w:num>
  <w:num w:numId="26" w16cid:durableId="627128005">
    <w:abstractNumId w:val="27"/>
  </w:num>
  <w:num w:numId="27" w16cid:durableId="575359328">
    <w:abstractNumId w:val="10"/>
  </w:num>
  <w:num w:numId="28" w16cid:durableId="404571032">
    <w:abstractNumId w:val="23"/>
  </w:num>
  <w:num w:numId="29" w16cid:durableId="611982549">
    <w:abstractNumId w:val="33"/>
  </w:num>
  <w:num w:numId="30" w16cid:durableId="1309745477">
    <w:abstractNumId w:val="31"/>
  </w:num>
  <w:num w:numId="31" w16cid:durableId="523135913">
    <w:abstractNumId w:val="1"/>
  </w:num>
  <w:num w:numId="32" w16cid:durableId="451559260">
    <w:abstractNumId w:val="8"/>
  </w:num>
  <w:num w:numId="33" w16cid:durableId="1024405275">
    <w:abstractNumId w:val="22"/>
  </w:num>
  <w:num w:numId="34" w16cid:durableId="446854467">
    <w:abstractNumId w:val="29"/>
  </w:num>
  <w:num w:numId="35" w16cid:durableId="1964998397">
    <w:abstractNumId w:val="36"/>
  </w:num>
  <w:num w:numId="36" w16cid:durableId="2063675243">
    <w:abstractNumId w:val="25"/>
  </w:num>
  <w:num w:numId="37" w16cid:durableId="2108571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82"/>
    <w:rsid w:val="000364FD"/>
    <w:rsid w:val="00051A6A"/>
    <w:rsid w:val="000705D1"/>
    <w:rsid w:val="00076E2D"/>
    <w:rsid w:val="000C3082"/>
    <w:rsid w:val="000F6A34"/>
    <w:rsid w:val="0016455E"/>
    <w:rsid w:val="002B3F3E"/>
    <w:rsid w:val="002D27EF"/>
    <w:rsid w:val="002E3FF0"/>
    <w:rsid w:val="00312EFE"/>
    <w:rsid w:val="00361C72"/>
    <w:rsid w:val="003766D9"/>
    <w:rsid w:val="003804E1"/>
    <w:rsid w:val="003B5BEF"/>
    <w:rsid w:val="003D4DD3"/>
    <w:rsid w:val="00405A0C"/>
    <w:rsid w:val="00430200"/>
    <w:rsid w:val="00430CF9"/>
    <w:rsid w:val="004B18C6"/>
    <w:rsid w:val="004C41E8"/>
    <w:rsid w:val="005306F2"/>
    <w:rsid w:val="00552863"/>
    <w:rsid w:val="005715E1"/>
    <w:rsid w:val="00583BD9"/>
    <w:rsid w:val="005930DC"/>
    <w:rsid w:val="00595687"/>
    <w:rsid w:val="005B7A32"/>
    <w:rsid w:val="005D70A0"/>
    <w:rsid w:val="006057A0"/>
    <w:rsid w:val="00652FF3"/>
    <w:rsid w:val="006664C4"/>
    <w:rsid w:val="00696D44"/>
    <w:rsid w:val="006B5196"/>
    <w:rsid w:val="006D1CF8"/>
    <w:rsid w:val="006E3D32"/>
    <w:rsid w:val="00752875"/>
    <w:rsid w:val="007560FD"/>
    <w:rsid w:val="007627F2"/>
    <w:rsid w:val="0078382B"/>
    <w:rsid w:val="007A0F00"/>
    <w:rsid w:val="00815C51"/>
    <w:rsid w:val="0087432D"/>
    <w:rsid w:val="00882D93"/>
    <w:rsid w:val="008B326F"/>
    <w:rsid w:val="00921421"/>
    <w:rsid w:val="00934850"/>
    <w:rsid w:val="0095538E"/>
    <w:rsid w:val="00962CFF"/>
    <w:rsid w:val="00992A14"/>
    <w:rsid w:val="009965FF"/>
    <w:rsid w:val="009C098C"/>
    <w:rsid w:val="009F5B61"/>
    <w:rsid w:val="00A17A72"/>
    <w:rsid w:val="00A223FF"/>
    <w:rsid w:val="00A33D8C"/>
    <w:rsid w:val="00A6552C"/>
    <w:rsid w:val="00A701EF"/>
    <w:rsid w:val="00AF2A70"/>
    <w:rsid w:val="00B117D5"/>
    <w:rsid w:val="00B267EC"/>
    <w:rsid w:val="00B516C5"/>
    <w:rsid w:val="00B618CD"/>
    <w:rsid w:val="00B864F0"/>
    <w:rsid w:val="00BC583B"/>
    <w:rsid w:val="00BD10FE"/>
    <w:rsid w:val="00BE3360"/>
    <w:rsid w:val="00BE4CC4"/>
    <w:rsid w:val="00BE4FD8"/>
    <w:rsid w:val="00BE6536"/>
    <w:rsid w:val="00C8042D"/>
    <w:rsid w:val="00C827B1"/>
    <w:rsid w:val="00CA2808"/>
    <w:rsid w:val="00CB0A89"/>
    <w:rsid w:val="00CB0CE2"/>
    <w:rsid w:val="00D00A4A"/>
    <w:rsid w:val="00D305CB"/>
    <w:rsid w:val="00D414C2"/>
    <w:rsid w:val="00D941CF"/>
    <w:rsid w:val="00DD723C"/>
    <w:rsid w:val="00E130C7"/>
    <w:rsid w:val="00E24F22"/>
    <w:rsid w:val="00E5069A"/>
    <w:rsid w:val="00E51E3C"/>
    <w:rsid w:val="00E649D8"/>
    <w:rsid w:val="00EA0946"/>
    <w:rsid w:val="00EF6EBE"/>
    <w:rsid w:val="00F26AD4"/>
    <w:rsid w:val="00F323BA"/>
    <w:rsid w:val="00F455CC"/>
    <w:rsid w:val="00F6533F"/>
    <w:rsid w:val="00F9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4C28D"/>
  <w15:docId w15:val="{A4A9CA3E-B652-46E5-9BB8-E5947EFE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49" w:lineRule="auto"/>
      <w:ind w:left="11" w:right="4"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35"/>
      <w:ind w:left="1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37"/>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705D1"/>
    <w:pPr>
      <w:ind w:left="720"/>
      <w:contextualSpacing/>
    </w:pPr>
  </w:style>
  <w:style w:type="paragraph" w:customStyle="1" w:styleId="Default">
    <w:name w:val="Default"/>
    <w:rsid w:val="006B51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95687"/>
    <w:rPr>
      <w:sz w:val="16"/>
      <w:szCs w:val="16"/>
    </w:rPr>
  </w:style>
  <w:style w:type="paragraph" w:styleId="CommentText">
    <w:name w:val="annotation text"/>
    <w:basedOn w:val="Normal"/>
    <w:link w:val="CommentTextChar"/>
    <w:uiPriority w:val="99"/>
    <w:unhideWhenUsed/>
    <w:rsid w:val="00595687"/>
    <w:pPr>
      <w:spacing w:line="240" w:lineRule="auto"/>
    </w:pPr>
    <w:rPr>
      <w:sz w:val="20"/>
      <w:szCs w:val="20"/>
    </w:rPr>
  </w:style>
  <w:style w:type="character" w:customStyle="1" w:styleId="CommentTextChar">
    <w:name w:val="Comment Text Char"/>
    <w:basedOn w:val="DefaultParagraphFont"/>
    <w:link w:val="CommentText"/>
    <w:uiPriority w:val="99"/>
    <w:rsid w:val="005956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5687"/>
    <w:rPr>
      <w:b/>
      <w:bCs/>
    </w:rPr>
  </w:style>
  <w:style w:type="character" w:customStyle="1" w:styleId="CommentSubjectChar">
    <w:name w:val="Comment Subject Char"/>
    <w:basedOn w:val="CommentTextChar"/>
    <w:link w:val="CommentSubject"/>
    <w:uiPriority w:val="99"/>
    <w:semiHidden/>
    <w:rsid w:val="00595687"/>
    <w:rPr>
      <w:rFonts w:ascii="Arial" w:eastAsia="Arial" w:hAnsi="Arial" w:cs="Arial"/>
      <w:b/>
      <w:bCs/>
      <w:color w:val="000000"/>
      <w:sz w:val="20"/>
      <w:szCs w:val="20"/>
    </w:rPr>
  </w:style>
  <w:style w:type="paragraph" w:styleId="Revision">
    <w:name w:val="Revision"/>
    <w:hidden/>
    <w:uiPriority w:val="99"/>
    <w:semiHidden/>
    <w:rsid w:val="00BD10FE"/>
    <w:pPr>
      <w:spacing w:after="0" w:line="240" w:lineRule="auto"/>
    </w:pPr>
    <w:rPr>
      <w:rFonts w:ascii="Arial" w:eastAsia="Arial" w:hAnsi="Arial" w:cs="Arial"/>
      <w:color w:val="000000"/>
    </w:rPr>
  </w:style>
  <w:style w:type="paragraph" w:styleId="Header">
    <w:name w:val="header"/>
    <w:basedOn w:val="Normal"/>
    <w:link w:val="HeaderChar"/>
    <w:uiPriority w:val="99"/>
    <w:unhideWhenUsed/>
    <w:rsid w:val="00B11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7D5"/>
    <w:rPr>
      <w:rFonts w:ascii="Arial" w:eastAsia="Arial" w:hAnsi="Arial" w:cs="Arial"/>
      <w:color w:val="000000"/>
    </w:rPr>
  </w:style>
  <w:style w:type="paragraph" w:styleId="Footer">
    <w:name w:val="footer"/>
    <w:basedOn w:val="Normal"/>
    <w:link w:val="FooterChar"/>
    <w:uiPriority w:val="99"/>
    <w:unhideWhenUsed/>
    <w:rsid w:val="00B11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7D5"/>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D9A8-2B1D-4413-9AC6-CFA07EB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2471</Words>
  <Characters>14089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Decant Policy 2021.final</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Decant Policy 2021.final</dc:title>
  <dc:subject/>
  <dc:creator>a</dc:creator>
  <cp:keywords/>
  <cp:lastModifiedBy>Phil.Warrington</cp:lastModifiedBy>
  <cp:revision>2</cp:revision>
  <cp:lastPrinted>2023-11-16T15:30:00Z</cp:lastPrinted>
  <dcterms:created xsi:type="dcterms:W3CDTF">2024-04-12T15:44:00Z</dcterms:created>
  <dcterms:modified xsi:type="dcterms:W3CDTF">2024-04-12T15:44:00Z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