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9C37" w14:textId="77777777" w:rsidR="00C07341" w:rsidRDefault="00000000">
      <w:pPr>
        <w:pStyle w:val="BodyText"/>
        <w:ind w:left="26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DC0569" wp14:editId="3C8C179E">
            <wp:extent cx="2343492" cy="922020"/>
            <wp:effectExtent l="0" t="0" r="0" b="0"/>
            <wp:docPr id="1" name="Image 1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492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1A195" w14:textId="77777777" w:rsidR="00C07341" w:rsidRDefault="00C07341">
      <w:pPr>
        <w:pStyle w:val="BodyText"/>
        <w:spacing w:before="12"/>
        <w:rPr>
          <w:rFonts w:ascii="Times New Roman"/>
        </w:rPr>
      </w:pPr>
    </w:p>
    <w:p w14:paraId="66D07C10" w14:textId="77777777" w:rsidR="00C07341" w:rsidRDefault="00000000">
      <w:pPr>
        <w:ind w:right="15"/>
        <w:jc w:val="center"/>
        <w:rPr>
          <w:b/>
          <w:sz w:val="24"/>
        </w:rPr>
      </w:pPr>
      <w:r>
        <w:rPr>
          <w:b/>
          <w:sz w:val="24"/>
        </w:rPr>
        <w:t>Body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Worn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Policy</w:t>
      </w:r>
    </w:p>
    <w:p w14:paraId="67344EB9" w14:textId="77777777" w:rsidR="00C07341" w:rsidRDefault="00C07341">
      <w:pPr>
        <w:pStyle w:val="BodyText"/>
        <w:rPr>
          <w:b/>
        </w:rPr>
      </w:pPr>
    </w:p>
    <w:p w14:paraId="5CBCF209" w14:textId="77777777" w:rsidR="00C07341" w:rsidRDefault="00C07341">
      <w:pPr>
        <w:pStyle w:val="BodyText"/>
        <w:rPr>
          <w:b/>
        </w:rPr>
      </w:pPr>
    </w:p>
    <w:p w14:paraId="579E3383" w14:textId="77777777" w:rsidR="00C073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6B2B062C" w14:textId="77777777" w:rsidR="00C07341" w:rsidRDefault="00C07341">
      <w:pPr>
        <w:pStyle w:val="BodyText"/>
        <w:rPr>
          <w:b/>
        </w:rPr>
      </w:pPr>
    </w:p>
    <w:p w14:paraId="6C98C12A" w14:textId="77777777" w:rsidR="00C07341" w:rsidRDefault="00000000">
      <w:pPr>
        <w:pStyle w:val="ListParagraph"/>
        <w:numPr>
          <w:ilvl w:val="1"/>
          <w:numId w:val="3"/>
        </w:numPr>
        <w:tabs>
          <w:tab w:val="left" w:pos="489"/>
          <w:tab w:val="left" w:pos="491"/>
        </w:tabs>
        <w:ind w:right="114"/>
        <w:jc w:val="both"/>
        <w:rPr>
          <w:sz w:val="24"/>
        </w:rPr>
      </w:pPr>
      <w:r>
        <w:rPr>
          <w:sz w:val="24"/>
        </w:rPr>
        <w:t>This document sets out</w:t>
      </w:r>
      <w:r>
        <w:rPr>
          <w:spacing w:val="-8"/>
          <w:sz w:val="24"/>
        </w:rPr>
        <w:t xml:space="preserve"> </w:t>
      </w:r>
      <w:r>
        <w:rPr>
          <w:sz w:val="24"/>
        </w:rPr>
        <w:t>Ashfield District Councils (ADC) Policy Guidelines for the use of Body</w:t>
      </w:r>
      <w:r>
        <w:rPr>
          <w:spacing w:val="-1"/>
          <w:sz w:val="24"/>
        </w:rPr>
        <w:t xml:space="preserve"> </w:t>
      </w:r>
      <w:r>
        <w:rPr>
          <w:sz w:val="24"/>
        </w:rPr>
        <w:t>worn CCTV cameras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Protection Officers (CPO’s) and outline the associated benefits to CPO’s and the </w:t>
      </w:r>
      <w:proofErr w:type="gramStart"/>
      <w:r>
        <w:rPr>
          <w:sz w:val="24"/>
        </w:rPr>
        <w:t>general public</w:t>
      </w:r>
      <w:proofErr w:type="gramEnd"/>
      <w:r>
        <w:rPr>
          <w:sz w:val="24"/>
        </w:rPr>
        <w:t>.</w:t>
      </w:r>
    </w:p>
    <w:p w14:paraId="3B3759C6" w14:textId="77777777" w:rsidR="00C07341" w:rsidRDefault="00C07341">
      <w:pPr>
        <w:pStyle w:val="BodyText"/>
      </w:pPr>
    </w:p>
    <w:p w14:paraId="557BE1F6" w14:textId="77777777" w:rsidR="00C07341" w:rsidRDefault="00000000">
      <w:pPr>
        <w:pStyle w:val="ListParagraph"/>
        <w:numPr>
          <w:ilvl w:val="1"/>
          <w:numId w:val="3"/>
        </w:numPr>
        <w:tabs>
          <w:tab w:val="left" w:pos="489"/>
          <w:tab w:val="left" w:pos="491"/>
        </w:tabs>
        <w:spacing w:before="1"/>
        <w:ind w:right="113"/>
        <w:jc w:val="both"/>
        <w:rPr>
          <w:sz w:val="24"/>
        </w:rPr>
      </w:pPr>
      <w:r>
        <w:rPr>
          <w:sz w:val="24"/>
        </w:rPr>
        <w:t xml:space="preserve">The use of body worn CCTV can provide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benefits which include a deterrent to acts of aggression or verbal and physical abuse toward CPO’s and providing</w:t>
      </w:r>
      <w:r>
        <w:rPr>
          <w:spacing w:val="-8"/>
          <w:sz w:val="24"/>
        </w:rPr>
        <w:t xml:space="preserve"> </w:t>
      </w:r>
      <w:r>
        <w:rPr>
          <w:sz w:val="24"/>
        </w:rPr>
        <w:t>evidence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investigations.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anticipated to reduce complaints against officer and act as a deterrent measure. It will also provide greater transparency and encourage professionalism from </w:t>
      </w:r>
      <w:proofErr w:type="gramStart"/>
      <w:r>
        <w:rPr>
          <w:sz w:val="24"/>
        </w:rPr>
        <w:t>CPO’s</w:t>
      </w:r>
      <w:proofErr w:type="gramEnd"/>
      <w:r>
        <w:rPr>
          <w:sz w:val="24"/>
        </w:rPr>
        <w:t xml:space="preserve"> at all </w:t>
      </w:r>
      <w:r>
        <w:rPr>
          <w:spacing w:val="-2"/>
          <w:sz w:val="24"/>
        </w:rPr>
        <w:t>times.</w:t>
      </w:r>
    </w:p>
    <w:p w14:paraId="0C987CD4" w14:textId="77777777" w:rsidR="00C07341" w:rsidRDefault="00C07341">
      <w:pPr>
        <w:pStyle w:val="BodyText"/>
      </w:pPr>
    </w:p>
    <w:p w14:paraId="50F9780D" w14:textId="77777777" w:rsidR="00C07341" w:rsidRDefault="00000000">
      <w:pPr>
        <w:pStyle w:val="ListParagraph"/>
        <w:numPr>
          <w:ilvl w:val="1"/>
          <w:numId w:val="3"/>
        </w:numPr>
        <w:tabs>
          <w:tab w:val="left" w:pos="489"/>
          <w:tab w:val="left" w:pos="491"/>
        </w:tabs>
        <w:ind w:right="117"/>
        <w:jc w:val="both"/>
        <w:rPr>
          <w:sz w:val="24"/>
        </w:rPr>
      </w:pP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worn</w:t>
      </w:r>
      <w:r>
        <w:rPr>
          <w:spacing w:val="-1"/>
          <w:sz w:val="24"/>
        </w:rPr>
        <w:t xml:space="preserve"> </w:t>
      </w:r>
      <w:r>
        <w:rPr>
          <w:sz w:val="24"/>
        </w:rPr>
        <w:t>CCTV forms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 a CPO’s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Protective Equipment. It will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used in an overt manner and </w:t>
      </w:r>
      <w:proofErr w:type="spellStart"/>
      <w:r>
        <w:rPr>
          <w:sz w:val="24"/>
        </w:rPr>
        <w:t>emphasised</w:t>
      </w:r>
      <w:proofErr w:type="spellEnd"/>
      <w:r>
        <w:rPr>
          <w:sz w:val="24"/>
        </w:rPr>
        <w:t xml:space="preserve"> by CPO’s wearing clear identification that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CCTV</w:t>
      </w:r>
      <w:r>
        <w:rPr>
          <w:spacing w:val="-14"/>
          <w:sz w:val="24"/>
        </w:rPr>
        <w:t xml:space="preserve"> </w:t>
      </w:r>
      <w:r>
        <w:rPr>
          <w:sz w:val="24"/>
        </w:rPr>
        <w:t>device.</w:t>
      </w:r>
      <w:r>
        <w:rPr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recording,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possible, CPO’s will give a clear verbal instruction that recording is taking place.</w:t>
      </w:r>
    </w:p>
    <w:p w14:paraId="0D7F7CEB" w14:textId="77777777" w:rsidR="00C07341" w:rsidRDefault="00C07341">
      <w:pPr>
        <w:pStyle w:val="BodyText"/>
      </w:pPr>
    </w:p>
    <w:p w14:paraId="6EE7EFF3" w14:textId="77777777" w:rsidR="00C07341" w:rsidRDefault="00C07341">
      <w:pPr>
        <w:pStyle w:val="BodyText"/>
        <w:spacing w:before="17"/>
      </w:pPr>
    </w:p>
    <w:p w14:paraId="52ED4067" w14:textId="77777777" w:rsidR="00C07341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  <w:rPr>
          <w:b/>
          <w:sz w:val="24"/>
        </w:rPr>
      </w:pPr>
      <w:r>
        <w:rPr>
          <w:b/>
          <w:spacing w:val="-2"/>
          <w:sz w:val="24"/>
        </w:rPr>
        <w:t>Legislation</w:t>
      </w:r>
    </w:p>
    <w:p w14:paraId="72CC8475" w14:textId="77777777" w:rsidR="00C07341" w:rsidRDefault="00C07341">
      <w:pPr>
        <w:pStyle w:val="BodyText"/>
        <w:rPr>
          <w:b/>
        </w:rPr>
      </w:pPr>
    </w:p>
    <w:p w14:paraId="2B0282ED" w14:textId="77777777" w:rsidR="00C07341" w:rsidRDefault="00000000">
      <w:pPr>
        <w:pStyle w:val="ListParagraph"/>
        <w:numPr>
          <w:ilvl w:val="1"/>
          <w:numId w:val="2"/>
        </w:numPr>
        <w:tabs>
          <w:tab w:val="left" w:pos="489"/>
          <w:tab w:val="left" w:pos="491"/>
        </w:tabs>
        <w:ind w:right="123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integrity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video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recorded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 following legislation:</w:t>
      </w:r>
    </w:p>
    <w:p w14:paraId="1A6592D8" w14:textId="77777777" w:rsidR="00C07341" w:rsidRDefault="00C07341">
      <w:pPr>
        <w:pStyle w:val="BodyText"/>
        <w:spacing w:before="1"/>
      </w:pPr>
    </w:p>
    <w:p w14:paraId="45BF2CA7" w14:textId="77777777" w:rsidR="00C07341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line="293" w:lineRule="exac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1998</w:t>
      </w:r>
    </w:p>
    <w:p w14:paraId="5220E7BF" w14:textId="77777777" w:rsidR="00C07341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line="292" w:lineRule="exact"/>
        <w:rPr>
          <w:b/>
          <w:sz w:val="24"/>
        </w:rPr>
      </w:pPr>
      <w:r>
        <w:rPr>
          <w:b/>
          <w:sz w:val="24"/>
        </w:rPr>
        <w:t>Freedom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4"/>
          <w:sz w:val="24"/>
        </w:rPr>
        <w:t xml:space="preserve"> 2000</w:t>
      </w:r>
    </w:p>
    <w:p w14:paraId="53676580" w14:textId="77777777" w:rsidR="00C07341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line="292" w:lineRule="exact"/>
        <w:rPr>
          <w:b/>
          <w:sz w:val="24"/>
        </w:rPr>
      </w:pPr>
      <w:r>
        <w:rPr>
          <w:b/>
          <w:sz w:val="24"/>
        </w:rPr>
        <w:t>Human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1998</w:t>
      </w:r>
    </w:p>
    <w:p w14:paraId="40ADB48B" w14:textId="77777777" w:rsidR="00C07341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line="293" w:lineRule="exact"/>
        <w:rPr>
          <w:b/>
          <w:sz w:val="24"/>
        </w:rPr>
      </w:pPr>
      <w:r>
        <w:rPr>
          <w:b/>
          <w:sz w:val="24"/>
        </w:rPr>
        <w:t>CCTV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2014</w:t>
      </w:r>
    </w:p>
    <w:p w14:paraId="62F4188D" w14:textId="77777777" w:rsidR="00C07341" w:rsidRDefault="00000000">
      <w:pPr>
        <w:pStyle w:val="ListParagraph"/>
        <w:numPr>
          <w:ilvl w:val="1"/>
          <w:numId w:val="2"/>
        </w:numPr>
        <w:tabs>
          <w:tab w:val="left" w:pos="501"/>
        </w:tabs>
        <w:spacing w:before="274"/>
        <w:ind w:left="501" w:hanging="401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4"/>
          <w:sz w:val="24"/>
        </w:rPr>
        <w:t xml:space="preserve"> 1998</w:t>
      </w:r>
    </w:p>
    <w:p w14:paraId="495ED42E" w14:textId="77777777" w:rsidR="00C07341" w:rsidRDefault="00C07341">
      <w:pPr>
        <w:pStyle w:val="BodyText"/>
        <w:rPr>
          <w:b/>
        </w:rPr>
      </w:pPr>
    </w:p>
    <w:p w14:paraId="55FEC552" w14:textId="77777777" w:rsidR="00C07341" w:rsidRDefault="00000000">
      <w:pPr>
        <w:pStyle w:val="BodyText"/>
        <w:spacing w:before="1"/>
        <w:ind w:left="100" w:right="113"/>
        <w:jc w:val="both"/>
      </w:pPr>
      <w:r>
        <w:t xml:space="preserve">The Information Commissioner’s Office is the regulator for the Act and has given guidance </w:t>
      </w:r>
      <w:proofErr w:type="gramStart"/>
      <w:r>
        <w:t>with regard to</w:t>
      </w:r>
      <w:proofErr w:type="gramEnd"/>
      <w:r>
        <w:t xml:space="preserve"> CPO’s use of body worn CCTV equipment. This legislation regulates the processing of ‘personal data’ or ‘sensitive personal data’ whether processed on computer, CCTV, still camera or any other media.</w:t>
      </w:r>
    </w:p>
    <w:p w14:paraId="29E4C81C" w14:textId="77777777" w:rsidR="00C07341" w:rsidRDefault="00C07341">
      <w:pPr>
        <w:pStyle w:val="BodyText"/>
      </w:pPr>
    </w:p>
    <w:p w14:paraId="48DDB489" w14:textId="77777777" w:rsidR="00C07341" w:rsidRDefault="00000000">
      <w:pPr>
        <w:pStyle w:val="BodyText"/>
        <w:ind w:left="100" w:right="113"/>
        <w:jc w:val="both"/>
      </w:pPr>
      <w:r>
        <w:t>Any recorded image that is aimed at or may identify a particular person is described as</w:t>
      </w:r>
      <w:r>
        <w:rPr>
          <w:spacing w:val="-7"/>
        </w:rPr>
        <w:t xml:space="preserve"> </w:t>
      </w:r>
      <w:r>
        <w:t>‘personal</w:t>
      </w:r>
      <w:r>
        <w:rPr>
          <w:spacing w:val="-6"/>
        </w:rPr>
        <w:t xml:space="preserve"> </w:t>
      </w:r>
      <w:r>
        <w:t>data’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captured using body worn equipment. The use of body worn CCTV in this guidance is ‘overt use’</w:t>
      </w:r>
      <w:r>
        <w:rPr>
          <w:spacing w:val="-8"/>
        </w:rPr>
        <w:t xml:space="preserve"> </w:t>
      </w:r>
      <w:r>
        <w:t>meaning that equipment is not to be worn or used in a hidden or covert manner.</w:t>
      </w:r>
    </w:p>
    <w:p w14:paraId="7C63C7DA" w14:textId="77777777" w:rsidR="00C07341" w:rsidRDefault="00C07341">
      <w:pPr>
        <w:jc w:val="both"/>
        <w:sectPr w:rsidR="00C07341">
          <w:type w:val="continuous"/>
          <w:pgSz w:w="11910" w:h="16840"/>
          <w:pgMar w:top="1060" w:right="1320" w:bottom="280" w:left="1340" w:header="720" w:footer="720" w:gutter="0"/>
          <w:cols w:space="720"/>
        </w:sectPr>
      </w:pPr>
    </w:p>
    <w:p w14:paraId="1AF6FF77" w14:textId="77777777" w:rsidR="00C07341" w:rsidRDefault="00000000">
      <w:pPr>
        <w:pStyle w:val="BodyText"/>
        <w:spacing w:before="79"/>
        <w:ind w:left="100" w:right="111"/>
        <w:jc w:val="both"/>
      </w:pPr>
      <w:r>
        <w:lastRenderedPageBreak/>
        <w:t xml:space="preserve">Where an individual asks to view </w:t>
      </w:r>
      <w:proofErr w:type="gramStart"/>
      <w:r>
        <w:t>footage</w:t>
      </w:r>
      <w:proofErr w:type="gramEnd"/>
      <w:r>
        <w:t xml:space="preserve"> this is called a ‘Subject</w:t>
      </w:r>
      <w:r>
        <w:rPr>
          <w:spacing w:val="-2"/>
        </w:rPr>
        <w:t xml:space="preserve"> </w:t>
      </w:r>
      <w:r>
        <w:t>Access Request’. The requester is only allowed to see footage of themselves and anyone who has provided</w:t>
      </w:r>
      <w:r>
        <w:rPr>
          <w:spacing w:val="-4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images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viewed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them.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 xml:space="preserve">available at </w:t>
      </w:r>
      <w:hyperlink r:id="rId6">
        <w:r>
          <w:rPr>
            <w:color w:val="0000FF"/>
            <w:u w:val="single" w:color="0000FF"/>
          </w:rPr>
          <w:t>https://www.ashfield.gov.uk/your-council/legal-stuff/</w:t>
        </w:r>
      </w:hyperlink>
    </w:p>
    <w:p w14:paraId="10B34915" w14:textId="77777777" w:rsidR="00C07341" w:rsidRDefault="00C07341">
      <w:pPr>
        <w:pStyle w:val="BodyText"/>
        <w:spacing w:before="1"/>
      </w:pPr>
    </w:p>
    <w:p w14:paraId="49075DBB" w14:textId="77777777" w:rsidR="00C07341" w:rsidRDefault="00000000">
      <w:pPr>
        <w:pStyle w:val="ListParagraph"/>
        <w:numPr>
          <w:ilvl w:val="1"/>
          <w:numId w:val="2"/>
        </w:numPr>
        <w:tabs>
          <w:tab w:val="left" w:pos="568"/>
        </w:tabs>
        <w:ind w:left="568" w:hanging="468"/>
        <w:rPr>
          <w:b/>
          <w:sz w:val="24"/>
        </w:rPr>
      </w:pPr>
      <w:r>
        <w:rPr>
          <w:b/>
          <w:sz w:val="24"/>
        </w:rPr>
        <w:t>Freedom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4"/>
          <w:sz w:val="24"/>
        </w:rPr>
        <w:t xml:space="preserve"> 2000</w:t>
      </w:r>
    </w:p>
    <w:p w14:paraId="3AA3A421" w14:textId="77777777" w:rsidR="00C07341" w:rsidRDefault="00C07341">
      <w:pPr>
        <w:pStyle w:val="BodyText"/>
        <w:rPr>
          <w:b/>
        </w:rPr>
      </w:pPr>
    </w:p>
    <w:p w14:paraId="32DC4D9F" w14:textId="77777777" w:rsidR="00C07341" w:rsidRDefault="00000000">
      <w:pPr>
        <w:pStyle w:val="BodyText"/>
        <w:ind w:left="100" w:right="123"/>
        <w:jc w:val="both"/>
      </w:pPr>
      <w:r>
        <w:t>This</w:t>
      </w:r>
      <w:r>
        <w:rPr>
          <w:spacing w:val="-17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bodies,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 not personal data. Information released under FOI can include statistical and other non-personal information.</w:t>
      </w:r>
    </w:p>
    <w:p w14:paraId="489A991D" w14:textId="77777777" w:rsidR="00C07341" w:rsidRDefault="00C07341">
      <w:pPr>
        <w:pStyle w:val="BodyText"/>
      </w:pPr>
    </w:p>
    <w:p w14:paraId="6DF0CAE5" w14:textId="77777777" w:rsidR="00C07341" w:rsidRDefault="00000000">
      <w:pPr>
        <w:pStyle w:val="ListParagraph"/>
        <w:numPr>
          <w:ilvl w:val="1"/>
          <w:numId w:val="2"/>
        </w:numPr>
        <w:tabs>
          <w:tab w:val="left" w:pos="526"/>
        </w:tabs>
        <w:ind w:left="526" w:hanging="426"/>
        <w:rPr>
          <w:b/>
          <w:sz w:val="24"/>
        </w:rPr>
      </w:pPr>
      <w:r>
        <w:rPr>
          <w:b/>
          <w:sz w:val="24"/>
        </w:rPr>
        <w:t>Human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1998</w:t>
      </w:r>
    </w:p>
    <w:p w14:paraId="49A49978" w14:textId="77777777" w:rsidR="00C07341" w:rsidRDefault="00C07341">
      <w:pPr>
        <w:pStyle w:val="BodyText"/>
        <w:rPr>
          <w:b/>
        </w:rPr>
      </w:pPr>
    </w:p>
    <w:p w14:paraId="4AA0682F" w14:textId="77777777" w:rsidR="00C07341" w:rsidRDefault="00000000">
      <w:pPr>
        <w:pStyle w:val="BodyText"/>
        <w:ind w:left="100" w:right="125"/>
        <w:jc w:val="both"/>
      </w:pPr>
      <w:r>
        <w:t>Article 6 provides for the right to a fair trial.</w:t>
      </w:r>
      <w:r>
        <w:rPr>
          <w:spacing w:val="-9"/>
        </w:rPr>
        <w:t xml:space="preserve"> </w:t>
      </w:r>
      <w:r>
        <w:t xml:space="preserve">All images captured </w:t>
      </w:r>
      <w:proofErr w:type="gramStart"/>
      <w:r>
        <w:t>through the use of</w:t>
      </w:r>
      <w:proofErr w:type="gramEnd"/>
      <w:r>
        <w:t xml:space="preserve"> a body worn device have the potential to be used in court proceedings and must be safeguarded by an audit trail in the same way as any other evidence.</w:t>
      </w:r>
    </w:p>
    <w:p w14:paraId="06C9B9E1" w14:textId="77777777" w:rsidR="00C07341" w:rsidRDefault="00C07341">
      <w:pPr>
        <w:pStyle w:val="BodyText"/>
        <w:spacing w:before="1"/>
      </w:pPr>
    </w:p>
    <w:p w14:paraId="03ECA84F" w14:textId="77777777" w:rsidR="00C07341" w:rsidRDefault="00000000">
      <w:pPr>
        <w:pStyle w:val="BodyText"/>
        <w:ind w:left="100" w:right="122"/>
        <w:jc w:val="both"/>
      </w:pPr>
      <w:r>
        <w:t>Article 8 of the Human Rights</w:t>
      </w:r>
      <w:r>
        <w:rPr>
          <w:spacing w:val="-5"/>
        </w:rPr>
        <w:t xml:space="preserve"> </w:t>
      </w:r>
      <w:r>
        <w:t>Act 1998 concerns the right for private and family life, home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correspondence.</w:t>
      </w:r>
      <w:r>
        <w:rPr>
          <w:spacing w:val="-12"/>
        </w:rPr>
        <w:t xml:space="preserve"> </w:t>
      </w:r>
      <w:r>
        <w:t>Recordings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persons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for those</w:t>
      </w:r>
      <w:r>
        <w:rPr>
          <w:spacing w:val="-17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still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regarded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potentially</w:t>
      </w:r>
      <w:r>
        <w:rPr>
          <w:spacing w:val="-13"/>
        </w:rPr>
        <w:t xml:space="preserve"> </w:t>
      </w:r>
      <w:r>
        <w:t>private.</w:t>
      </w:r>
      <w:r>
        <w:rPr>
          <w:spacing w:val="-1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recorded conversation</w:t>
      </w:r>
      <w:r>
        <w:rPr>
          <w:spacing w:val="-17"/>
        </w:rPr>
        <w:t xml:space="preserve"> </w:t>
      </w:r>
      <w:r>
        <w:t>between</w:t>
      </w:r>
      <w:r>
        <w:rPr>
          <w:spacing w:val="-17"/>
        </w:rPr>
        <w:t xml:space="preserve"> </w:t>
      </w:r>
      <w:r>
        <w:t>members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always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considered</w:t>
      </w:r>
      <w:r>
        <w:rPr>
          <w:spacing w:val="-16"/>
        </w:rPr>
        <w:t xml:space="preserve"> </w:t>
      </w:r>
      <w:r>
        <w:t>private</w:t>
      </w:r>
      <w:r>
        <w:rPr>
          <w:spacing w:val="-15"/>
        </w:rPr>
        <w:t xml:space="preserve"> </w:t>
      </w:r>
      <w:r>
        <w:t>and users of body worn equipment should not record beyond what is necessary when recording a confrontational situation.</w:t>
      </w:r>
    </w:p>
    <w:p w14:paraId="2901A1B0" w14:textId="77777777" w:rsidR="00C07341" w:rsidRDefault="00C07341">
      <w:pPr>
        <w:pStyle w:val="BodyText"/>
      </w:pPr>
    </w:p>
    <w:p w14:paraId="3EA49F40" w14:textId="77777777" w:rsidR="00C07341" w:rsidRDefault="00000000">
      <w:pPr>
        <w:ind w:left="100"/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Awareness</w:t>
      </w:r>
    </w:p>
    <w:p w14:paraId="4C7E2A93" w14:textId="77777777" w:rsidR="00C07341" w:rsidRDefault="00C07341">
      <w:pPr>
        <w:pStyle w:val="BodyText"/>
        <w:rPr>
          <w:b/>
        </w:rPr>
      </w:pPr>
    </w:p>
    <w:p w14:paraId="1F341874" w14:textId="77777777" w:rsidR="00C07341" w:rsidRDefault="00000000">
      <w:pPr>
        <w:ind w:left="100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Widely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advertised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worn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CCTV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CPO’s</w:t>
      </w:r>
    </w:p>
    <w:p w14:paraId="2C9AE5D2" w14:textId="77777777" w:rsidR="00C07341" w:rsidRDefault="00C07341">
      <w:pPr>
        <w:pStyle w:val="BodyText"/>
        <w:rPr>
          <w:b/>
        </w:rPr>
      </w:pPr>
    </w:p>
    <w:p w14:paraId="4D6F6E4C" w14:textId="77777777" w:rsidR="00C07341" w:rsidRDefault="00000000">
      <w:pPr>
        <w:pStyle w:val="BodyText"/>
        <w:ind w:left="100" w:right="120"/>
        <w:jc w:val="both"/>
      </w:pPr>
      <w:r>
        <w:t xml:space="preserve">ADC’s website and Facebook page will promote that BWV is in operation with an opportunity for members of the public to get in touch with the council and share their </w:t>
      </w:r>
      <w:r>
        <w:rPr>
          <w:spacing w:val="-2"/>
        </w:rPr>
        <w:t>views.</w:t>
      </w:r>
    </w:p>
    <w:p w14:paraId="46E73E9D" w14:textId="77777777" w:rsidR="00C07341" w:rsidRDefault="00C07341">
      <w:pPr>
        <w:pStyle w:val="BodyText"/>
      </w:pPr>
    </w:p>
    <w:p w14:paraId="3059E12E" w14:textId="77777777" w:rsidR="00C07341" w:rsidRDefault="00000000">
      <w:pPr>
        <w:pStyle w:val="BodyText"/>
        <w:spacing w:before="1"/>
        <w:ind w:left="100" w:right="117"/>
        <w:jc w:val="both"/>
      </w:pPr>
      <w:r>
        <w:t>ADC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BWV</w:t>
      </w:r>
      <w:r>
        <w:rPr>
          <w:spacing w:val="-16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CPO’s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widely</w:t>
      </w:r>
      <w:r>
        <w:rPr>
          <w:spacing w:val="-15"/>
        </w:rPr>
        <w:t xml:space="preserve"> </w:t>
      </w:r>
      <w:r>
        <w:t>advertised</w:t>
      </w:r>
      <w:r>
        <w:rPr>
          <w:spacing w:val="-12"/>
        </w:rPr>
        <w:t xml:space="preserve"> </w:t>
      </w:r>
      <w:r>
        <w:t>prior to commencement. The Council will issue a formal press release in addition to publishing information on the web site. https:/</w:t>
      </w:r>
      <w:hyperlink r:id="rId7">
        <w:r>
          <w:t>/www.ashfield.gov.uk/</w:t>
        </w:r>
      </w:hyperlink>
    </w:p>
    <w:p w14:paraId="03207AE1" w14:textId="77777777" w:rsidR="00C07341" w:rsidRDefault="00000000">
      <w:pPr>
        <w:pStyle w:val="BodyText"/>
        <w:spacing w:before="276"/>
        <w:ind w:left="100" w:right="116"/>
        <w:jc w:val="both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BWV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emphasised</w:t>
      </w:r>
      <w:proofErr w:type="spellEnd"/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CPO’s</w:t>
      </w:r>
      <w:r>
        <w:rPr>
          <w:spacing w:val="-2"/>
        </w:rPr>
        <w:t xml:space="preserve"> </w:t>
      </w:r>
      <w:r>
        <w:t>wearing it in a</w:t>
      </w:r>
      <w:r>
        <w:rPr>
          <w:spacing w:val="-2"/>
        </w:rPr>
        <w:t xml:space="preserve"> </w:t>
      </w:r>
      <w:r>
        <w:t>prominent position (normally</w:t>
      </w:r>
      <w:r>
        <w:rPr>
          <w:spacing w:val="-2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chest) and</w:t>
      </w:r>
      <w:r>
        <w:rPr>
          <w:spacing w:val="-2"/>
        </w:rPr>
        <w:t xml:space="preserve"> </w:t>
      </w:r>
      <w:r>
        <w:t>that it is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facing</w:t>
      </w:r>
      <w:r>
        <w:rPr>
          <w:spacing w:val="-1"/>
        </w:rPr>
        <w:t xml:space="preserve"> </w:t>
      </w:r>
      <w:r>
        <w:t>display is visible to anyone being recorded.</w:t>
      </w:r>
      <w:r>
        <w:rPr>
          <w:spacing w:val="-9"/>
        </w:rPr>
        <w:t xml:space="preserve"> </w:t>
      </w:r>
      <w:r>
        <w:t>Additionally, CPO’s will wear identification that it is a BWV device and make a verbal announcement, where practicable, prior to commencement of any recording. The Council will adhere to the CCTV code of practice 2014 in all aspects referring to Body Worn Cameras.</w:t>
      </w:r>
    </w:p>
    <w:p w14:paraId="1016C310" w14:textId="77777777" w:rsidR="00C07341" w:rsidRDefault="00C07341">
      <w:pPr>
        <w:pStyle w:val="BodyText"/>
      </w:pPr>
    </w:p>
    <w:p w14:paraId="5445EE91" w14:textId="77777777" w:rsidR="00C07341" w:rsidRDefault="00000000">
      <w:pPr>
        <w:pStyle w:val="BodyText"/>
        <w:ind w:left="100" w:right="124"/>
        <w:jc w:val="both"/>
      </w:pPr>
      <w:r>
        <w:t>The purpose of issuing a verbal warning is to allow a member of the public to modify any unacceptable confrontational or aggressive and threatening behavior.</w:t>
      </w:r>
    </w:p>
    <w:p w14:paraId="19DE1289" w14:textId="77777777" w:rsidR="00C07341" w:rsidRDefault="00C07341">
      <w:pPr>
        <w:pStyle w:val="BodyText"/>
      </w:pPr>
    </w:p>
    <w:p w14:paraId="7779CDC9" w14:textId="77777777" w:rsidR="00C07341" w:rsidRDefault="00000000">
      <w:pPr>
        <w:pStyle w:val="BodyText"/>
        <w:ind w:left="100" w:right="124"/>
        <w:jc w:val="both"/>
      </w:pPr>
      <w:r>
        <w:t>A</w:t>
      </w:r>
      <w:r>
        <w:rPr>
          <w:spacing w:val="-1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form of words to be used in any</w:t>
      </w:r>
      <w:r>
        <w:rPr>
          <w:spacing w:val="-2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to a member</w:t>
      </w:r>
      <w:r>
        <w:rPr>
          <w:spacing w:val="-1"/>
        </w:rPr>
        <w:t xml:space="preserve"> </w:t>
      </w:r>
      <w:r>
        <w:t xml:space="preserve">of the public has not been prescribed, but </w:t>
      </w:r>
      <w:proofErr w:type="gramStart"/>
      <w:r>
        <w:t>CPO’s</w:t>
      </w:r>
      <w:proofErr w:type="gramEnd"/>
      <w:r>
        <w:t xml:space="preserve"> should use straightforward speech that can be easily understood by those present such as:</w:t>
      </w:r>
    </w:p>
    <w:p w14:paraId="16D884D1" w14:textId="77777777" w:rsidR="00C07341" w:rsidRDefault="00C07341">
      <w:pPr>
        <w:jc w:val="both"/>
        <w:sectPr w:rsidR="00C07341">
          <w:pgSz w:w="11910" w:h="16840"/>
          <w:pgMar w:top="1340" w:right="1320" w:bottom="280" w:left="1340" w:header="720" w:footer="720" w:gutter="0"/>
          <w:cols w:space="720"/>
        </w:sectPr>
      </w:pPr>
    </w:p>
    <w:p w14:paraId="0B6C15E1" w14:textId="77777777" w:rsidR="00C07341" w:rsidRDefault="00000000">
      <w:pPr>
        <w:pStyle w:val="BodyText"/>
        <w:spacing w:before="79"/>
        <w:ind w:left="100"/>
        <w:jc w:val="both"/>
      </w:pPr>
      <w:r>
        <w:lastRenderedPageBreak/>
        <w:t>‘I</w:t>
      </w:r>
      <w:r>
        <w:rPr>
          <w:spacing w:val="-4"/>
        </w:rPr>
        <w:t xml:space="preserve"> </w:t>
      </w:r>
      <w:r>
        <w:t>am wearing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worn</w:t>
      </w:r>
      <w:r>
        <w:rPr>
          <w:spacing w:val="-2"/>
        </w:rPr>
        <w:t xml:space="preserve"> </w:t>
      </w:r>
      <w:r>
        <w:t>CCTV</w:t>
      </w:r>
      <w:r>
        <w:rPr>
          <w:spacing w:val="-3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 now</w:t>
      </w:r>
      <w:r>
        <w:rPr>
          <w:spacing w:val="-4"/>
        </w:rPr>
        <w:t xml:space="preserve"> </w:t>
      </w:r>
      <w:r>
        <w:rPr>
          <w:spacing w:val="-2"/>
        </w:rPr>
        <w:t>recording’</w:t>
      </w:r>
    </w:p>
    <w:p w14:paraId="4C9004F2" w14:textId="77777777" w:rsidR="00C07341" w:rsidRDefault="00C07341">
      <w:pPr>
        <w:pStyle w:val="BodyText"/>
        <w:spacing w:before="1"/>
      </w:pPr>
    </w:p>
    <w:p w14:paraId="4C1A9832" w14:textId="77777777" w:rsidR="00C07341" w:rsidRDefault="00000000">
      <w:pPr>
        <w:pStyle w:val="ListParagraph"/>
        <w:numPr>
          <w:ilvl w:val="0"/>
          <w:numId w:val="1"/>
        </w:numPr>
        <w:tabs>
          <w:tab w:val="left" w:pos="563"/>
        </w:tabs>
        <w:ind w:left="563" w:hanging="463"/>
        <w:rPr>
          <w:b/>
          <w:sz w:val="24"/>
        </w:rPr>
      </w:pPr>
      <w:r>
        <w:rPr>
          <w:b/>
          <w:sz w:val="24"/>
        </w:rPr>
        <w:t>Storage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Audit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Retention</w:t>
      </w:r>
    </w:p>
    <w:p w14:paraId="334D9FAA" w14:textId="77777777" w:rsidR="00C07341" w:rsidRDefault="00C07341">
      <w:pPr>
        <w:pStyle w:val="BodyText"/>
        <w:rPr>
          <w:b/>
        </w:rPr>
      </w:pPr>
    </w:p>
    <w:p w14:paraId="43F30D02" w14:textId="77777777" w:rsidR="00C07341" w:rsidRDefault="00000000">
      <w:pPr>
        <w:pStyle w:val="BodyText"/>
        <w:ind w:left="100" w:right="120"/>
        <w:jc w:val="both"/>
      </w:pPr>
      <w:r>
        <w:t>All retained data will be kept until all investigations have been completed or a prosecution has taken place.</w:t>
      </w:r>
    </w:p>
    <w:p w14:paraId="5E46CDCE" w14:textId="77777777" w:rsidR="00C07341" w:rsidRDefault="00C07341">
      <w:pPr>
        <w:pStyle w:val="BodyText"/>
      </w:pPr>
    </w:p>
    <w:p w14:paraId="5D524DFF" w14:textId="77777777" w:rsidR="00C07341" w:rsidRDefault="00000000">
      <w:pPr>
        <w:pStyle w:val="BodyText"/>
        <w:ind w:left="100"/>
        <w:jc w:val="both"/>
      </w:pP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evidential</w:t>
      </w:r>
      <w:r>
        <w:rPr>
          <w:spacing w:val="-2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deleted</w:t>
      </w:r>
      <w:r>
        <w:rPr>
          <w:spacing w:val="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days.</w:t>
      </w:r>
    </w:p>
    <w:p w14:paraId="39871AA3" w14:textId="77777777" w:rsidR="00C07341" w:rsidRDefault="00C07341">
      <w:pPr>
        <w:pStyle w:val="BodyText"/>
        <w:spacing w:before="5"/>
      </w:pPr>
    </w:p>
    <w:p w14:paraId="0F15A161" w14:textId="77777777" w:rsidR="00C07341" w:rsidRDefault="00000000">
      <w:pPr>
        <w:pStyle w:val="BodyText"/>
        <w:ind w:left="100" w:right="124"/>
        <w:jc w:val="both"/>
      </w:pP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ADC</w:t>
      </w:r>
      <w:r>
        <w:rPr>
          <w:spacing w:val="-6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proofErr w:type="gramStart"/>
      <w:r>
        <w:t>with regard to</w:t>
      </w:r>
      <w:proofErr w:type="gramEnd"/>
      <w:r>
        <w:t xml:space="preserve"> confidentiality and comply with the General Data Protection Regulation.</w:t>
      </w:r>
    </w:p>
    <w:p w14:paraId="4BDCC8A0" w14:textId="77777777" w:rsidR="00C07341" w:rsidRDefault="00C07341">
      <w:pPr>
        <w:pStyle w:val="BodyText"/>
        <w:spacing w:before="2"/>
      </w:pPr>
    </w:p>
    <w:p w14:paraId="7009796A" w14:textId="77777777" w:rsidR="00C07341" w:rsidRDefault="00000000">
      <w:pPr>
        <w:pStyle w:val="BodyText"/>
        <w:ind w:left="100" w:right="122"/>
        <w:jc w:val="both"/>
      </w:pPr>
      <w:r>
        <w:t>Information should,</w:t>
      </w:r>
      <w:r>
        <w:rPr>
          <w:spacing w:val="-3"/>
        </w:rPr>
        <w:t xml:space="preserve"> </w:t>
      </w:r>
      <w:r>
        <w:t xml:space="preserve">therefore, be handled </w:t>
      </w:r>
      <w:proofErr w:type="gramStart"/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preserve the integrity</w:t>
      </w:r>
      <w:r>
        <w:rPr>
          <w:spacing w:val="-3"/>
        </w:rPr>
        <w:t xml:space="preserve"> </w:t>
      </w:r>
      <w:r>
        <w:t>of core</w:t>
      </w:r>
      <w:r>
        <w:rPr>
          <w:spacing w:val="-1"/>
        </w:rPr>
        <w:t xml:space="preserve"> </w:t>
      </w:r>
      <w:r>
        <w:t>CPO business whilst maintaining availability for operational purposes and in line with the full requirements of the Data Protection Act; and this must happen throughout the delivery chain.</w:t>
      </w:r>
    </w:p>
    <w:p w14:paraId="3683C8CD" w14:textId="77777777" w:rsidR="00C07341" w:rsidRDefault="00C07341">
      <w:pPr>
        <w:pStyle w:val="BodyText"/>
        <w:spacing w:before="6"/>
      </w:pPr>
    </w:p>
    <w:p w14:paraId="78BB2C86" w14:textId="77777777" w:rsidR="00C07341" w:rsidRDefault="00000000">
      <w:pPr>
        <w:pStyle w:val="BodyText"/>
        <w:ind w:left="100" w:right="114"/>
        <w:jc w:val="both"/>
      </w:pPr>
      <w:r>
        <w:t>BWV recordings should be retained in accordance with the General Data Protection Regulation</w:t>
      </w:r>
      <w:r>
        <w:rPr>
          <w:spacing w:val="-13"/>
        </w:rPr>
        <w:t xml:space="preserve"> </w:t>
      </w:r>
      <w:r>
        <w:t>1998.</w:t>
      </w:r>
      <w:r>
        <w:rPr>
          <w:spacing w:val="-10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link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guide</w:t>
      </w:r>
      <w:r>
        <w:rPr>
          <w:spacing w:val="-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ADC’s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retention policy: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http://adci/media/3665/adc-retention-schedule-030418.pdf</w:t>
        </w:r>
      </w:hyperlink>
    </w:p>
    <w:p w14:paraId="3FA7F888" w14:textId="77777777" w:rsidR="00C07341" w:rsidRDefault="00C07341">
      <w:pPr>
        <w:pStyle w:val="BodyText"/>
        <w:spacing w:before="2"/>
      </w:pPr>
    </w:p>
    <w:p w14:paraId="29F649F5" w14:textId="77777777" w:rsidR="00C07341" w:rsidRDefault="00000000">
      <w:pPr>
        <w:pStyle w:val="BodyText"/>
        <w:ind w:left="100" w:right="121"/>
        <w:jc w:val="both"/>
      </w:pPr>
      <w:r>
        <w:t>However,</w:t>
      </w:r>
      <w:r>
        <w:rPr>
          <w:spacing w:val="-6"/>
        </w:rPr>
        <w:t xml:space="preserve"> </w:t>
      </w:r>
      <w:proofErr w:type="gramStart"/>
      <w:r>
        <w:t>with</w:t>
      </w:r>
      <w:r>
        <w:rPr>
          <w:spacing w:val="-6"/>
        </w:rPr>
        <w:t xml:space="preserve"> </w:t>
      </w:r>
      <w:r>
        <w:rPr>
          <w:color w:val="221F1F"/>
        </w:rPr>
        <w:t>regard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to</w:t>
      </w:r>
      <w:proofErr w:type="gramEnd"/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retention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footage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used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evidence,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is 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controller’s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responsibility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devise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flexible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policy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takes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into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account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the ongoing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relevance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different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types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footage.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matter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judgement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each </w:t>
      </w:r>
      <w:r>
        <w:rPr>
          <w:color w:val="221F1F"/>
          <w:spacing w:val="-2"/>
        </w:rPr>
        <w:t>case.</w:t>
      </w:r>
    </w:p>
    <w:p w14:paraId="687FF998" w14:textId="77777777" w:rsidR="00C07341" w:rsidRDefault="00C07341">
      <w:pPr>
        <w:pStyle w:val="BodyText"/>
        <w:spacing w:before="5"/>
      </w:pPr>
    </w:p>
    <w:p w14:paraId="109721E6" w14:textId="77777777" w:rsidR="00C07341" w:rsidRDefault="00000000">
      <w:pPr>
        <w:pStyle w:val="BodyText"/>
        <w:ind w:left="100" w:right="114"/>
        <w:jc w:val="both"/>
      </w:pPr>
      <w:r>
        <w:rPr>
          <w:color w:val="221F1F"/>
        </w:rPr>
        <w:t>Recorded footage that is initially considered to be ‘non-evidential’ should not be retained beyond the time where it is reasonably expected that it may be identified as being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part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investigation.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0D2C6C"/>
        </w:rPr>
        <w:t>Home</w:t>
      </w:r>
      <w:r>
        <w:rPr>
          <w:color w:val="0D2C6C"/>
          <w:spacing w:val="-9"/>
        </w:rPr>
        <w:t xml:space="preserve"> </w:t>
      </w:r>
      <w:r>
        <w:rPr>
          <w:color w:val="0D2C6C"/>
        </w:rPr>
        <w:t>Office/ACPO</w:t>
      </w:r>
      <w:r>
        <w:rPr>
          <w:color w:val="0D2C6C"/>
          <w:spacing w:val="-10"/>
        </w:rPr>
        <w:t xml:space="preserve"> </w:t>
      </w:r>
      <w:r>
        <w:rPr>
          <w:color w:val="0D2C6C"/>
        </w:rPr>
        <w:t>CCTV</w:t>
      </w:r>
      <w:r>
        <w:rPr>
          <w:color w:val="0D2C6C"/>
          <w:spacing w:val="-10"/>
        </w:rPr>
        <w:t xml:space="preserve"> </w:t>
      </w:r>
      <w:r>
        <w:rPr>
          <w:color w:val="0D2C6C"/>
        </w:rPr>
        <w:t>guidance</w:t>
      </w:r>
      <w:r>
        <w:rPr>
          <w:color w:val="0D2C6C"/>
          <w:spacing w:val="-17"/>
        </w:rPr>
        <w:t xml:space="preserve"> </w:t>
      </w:r>
      <w:r>
        <w:rPr>
          <w:color w:val="221F1F"/>
        </w:rPr>
        <w:t>indicates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that systems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should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retain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footage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period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31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days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investigation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become apparent, after which it should be deleted.</w:t>
      </w:r>
    </w:p>
    <w:p w14:paraId="10FC3AB1" w14:textId="77777777" w:rsidR="00C07341" w:rsidRDefault="00C07341">
      <w:pPr>
        <w:pStyle w:val="BodyText"/>
        <w:spacing w:before="3"/>
      </w:pPr>
    </w:p>
    <w:p w14:paraId="37644C60" w14:textId="77777777" w:rsidR="00C07341" w:rsidRDefault="00000000">
      <w:pPr>
        <w:pStyle w:val="BodyText"/>
        <w:ind w:left="100"/>
        <w:jc w:val="both"/>
      </w:pPr>
      <w:r>
        <w:t>An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trail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2"/>
        </w:rPr>
        <w:t>DEMS.</w:t>
      </w:r>
    </w:p>
    <w:p w14:paraId="1DD2E1EF" w14:textId="77777777" w:rsidR="00C07341" w:rsidRDefault="00C07341">
      <w:pPr>
        <w:pStyle w:val="BodyText"/>
        <w:spacing w:before="5"/>
      </w:pPr>
    </w:p>
    <w:p w14:paraId="3E32463F" w14:textId="77777777" w:rsidR="00C07341" w:rsidRDefault="00000000">
      <w:pPr>
        <w:pStyle w:val="ListParagraph"/>
        <w:numPr>
          <w:ilvl w:val="0"/>
          <w:numId w:val="1"/>
        </w:numPr>
        <w:tabs>
          <w:tab w:val="left" w:pos="501"/>
        </w:tabs>
        <w:ind w:left="501" w:hanging="401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Use</w:t>
      </w:r>
    </w:p>
    <w:p w14:paraId="29BDB01C" w14:textId="77777777" w:rsidR="00C07341" w:rsidRDefault="00C07341">
      <w:pPr>
        <w:pStyle w:val="BodyText"/>
        <w:spacing w:before="5"/>
        <w:rPr>
          <w:b/>
        </w:rPr>
      </w:pPr>
    </w:p>
    <w:p w14:paraId="6D19F81D" w14:textId="77777777" w:rsidR="00C07341" w:rsidRDefault="00000000">
      <w:pPr>
        <w:pStyle w:val="BodyText"/>
        <w:ind w:left="100" w:right="117"/>
        <w:jc w:val="both"/>
      </w:pPr>
      <w:r>
        <w:t>BWV is an overt recording medium and can be used across a wide range of operations. There are a few examples of situations where the use of BWV is not appropriate.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users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supervisors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 xml:space="preserve">judgement </w:t>
      </w:r>
      <w:proofErr w:type="gramStart"/>
      <w:r>
        <w:t>with regard to</w:t>
      </w:r>
      <w:proofErr w:type="gramEnd"/>
      <w:r>
        <w:t xml:space="preserve"> recording.</w:t>
      </w:r>
    </w:p>
    <w:p w14:paraId="1850577D" w14:textId="77777777" w:rsidR="00C07341" w:rsidRDefault="00C07341">
      <w:pPr>
        <w:pStyle w:val="BodyText"/>
        <w:spacing w:before="5"/>
      </w:pPr>
    </w:p>
    <w:p w14:paraId="5D392010" w14:textId="77777777" w:rsidR="00C07341" w:rsidRDefault="00000000">
      <w:pPr>
        <w:pStyle w:val="BodyText"/>
        <w:ind w:left="100" w:right="120"/>
        <w:jc w:val="both"/>
      </w:pPr>
      <w:r>
        <w:t>The following examples of where the use of BWV is not appropriate are for guidance only and this list is not exhaustive:</w:t>
      </w:r>
    </w:p>
    <w:p w14:paraId="738FF4DA" w14:textId="77777777" w:rsidR="00C07341" w:rsidRDefault="00C07341">
      <w:pPr>
        <w:pStyle w:val="BodyText"/>
        <w:spacing w:before="3"/>
      </w:pPr>
    </w:p>
    <w:p w14:paraId="74B156BD" w14:textId="77777777" w:rsidR="00C07341" w:rsidRDefault="00000000">
      <w:pPr>
        <w:pStyle w:val="BodyText"/>
        <w:ind w:left="100" w:right="121"/>
        <w:jc w:val="both"/>
      </w:pPr>
      <w:r>
        <w:rPr>
          <w:u w:val="single"/>
        </w:rPr>
        <w:t>Legal privilege</w:t>
      </w:r>
      <w:r>
        <w:t xml:space="preserve"> – users</w:t>
      </w:r>
      <w:r>
        <w:rPr>
          <w:spacing w:val="-2"/>
        </w:rPr>
        <w:t xml:space="preserve"> </w:t>
      </w:r>
      <w:r>
        <w:t>must be careful</w:t>
      </w:r>
      <w:r>
        <w:rPr>
          <w:spacing w:val="-1"/>
        </w:rPr>
        <w:t xml:space="preserve"> </w:t>
      </w:r>
      <w:r>
        <w:t>to respect legal privilege and must not record material that is or is likely to be subject of such protections.</w:t>
      </w:r>
    </w:p>
    <w:p w14:paraId="52598120" w14:textId="77777777" w:rsidR="00C07341" w:rsidRDefault="00C07341">
      <w:pPr>
        <w:pStyle w:val="BodyText"/>
        <w:spacing w:before="4"/>
      </w:pPr>
    </w:p>
    <w:p w14:paraId="4EBB9B31" w14:textId="77777777" w:rsidR="00C07341" w:rsidRDefault="00000000">
      <w:pPr>
        <w:pStyle w:val="BodyText"/>
        <w:spacing w:before="1"/>
        <w:ind w:left="100" w:right="118"/>
        <w:jc w:val="both"/>
      </w:pPr>
      <w:r>
        <w:rPr>
          <w:u w:val="single"/>
        </w:rPr>
        <w:t>Private dwellings</w:t>
      </w:r>
      <w:r>
        <w:t xml:space="preserve"> – whilst use of video at the scene of domestic violence incidents is covered</w:t>
      </w:r>
      <w:r>
        <w:rPr>
          <w:spacing w:val="16"/>
        </w:rPr>
        <w:t xml:space="preserve"> </w:t>
      </w:r>
      <w:r>
        <w:t>in other sections, users must consider the right to private</w:t>
      </w:r>
      <w:r>
        <w:rPr>
          <w:spacing w:val="16"/>
        </w:rPr>
        <w:t xml:space="preserve"> </w:t>
      </w:r>
      <w:r>
        <w:t>and family life, in</w:t>
      </w:r>
    </w:p>
    <w:p w14:paraId="0E3D763A" w14:textId="77777777" w:rsidR="00C07341" w:rsidRDefault="00C07341">
      <w:pPr>
        <w:jc w:val="both"/>
        <w:sectPr w:rsidR="00C07341">
          <w:pgSz w:w="11910" w:h="16840"/>
          <w:pgMar w:top="1340" w:right="1320" w:bottom="280" w:left="1340" w:header="720" w:footer="720" w:gutter="0"/>
          <w:cols w:space="720"/>
        </w:sectPr>
      </w:pPr>
    </w:p>
    <w:p w14:paraId="66ED5739" w14:textId="77777777" w:rsidR="00C07341" w:rsidRDefault="00000000">
      <w:pPr>
        <w:pStyle w:val="BodyText"/>
        <w:spacing w:before="79"/>
        <w:ind w:left="100" w:right="123"/>
        <w:jc w:val="both"/>
      </w:pPr>
      <w:r>
        <w:lastRenderedPageBreak/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Article 8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proofErr w:type="gramStart"/>
      <w:r>
        <w:t>Rights</w:t>
      </w:r>
      <w:r>
        <w:rPr>
          <w:spacing w:val="-14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beyond what is necessary for the evidential requirements of the case.</w:t>
      </w:r>
    </w:p>
    <w:p w14:paraId="3A3822D7" w14:textId="77777777" w:rsidR="00C07341" w:rsidRDefault="00C07341">
      <w:pPr>
        <w:pStyle w:val="BodyText"/>
        <w:spacing w:before="5"/>
      </w:pPr>
    </w:p>
    <w:p w14:paraId="169D529F" w14:textId="77777777" w:rsidR="00C07341" w:rsidRDefault="00000000">
      <w:pPr>
        <w:pStyle w:val="BodyText"/>
        <w:spacing w:before="1"/>
        <w:ind w:left="100" w:right="113"/>
        <w:jc w:val="both"/>
      </w:pPr>
      <w:r>
        <w:rPr>
          <w:u w:val="single"/>
        </w:rPr>
        <w:t>Explosive</w:t>
      </w:r>
      <w:r>
        <w:rPr>
          <w:spacing w:val="-13"/>
          <w:u w:val="single"/>
        </w:rPr>
        <w:t xml:space="preserve"> </w:t>
      </w:r>
      <w:r>
        <w:rPr>
          <w:u w:val="single"/>
        </w:rPr>
        <w:t>devices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many</w:t>
      </w:r>
      <w:r>
        <w:rPr>
          <w:spacing w:val="-16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items,</w:t>
      </w:r>
      <w:r>
        <w:rPr>
          <w:spacing w:val="-16"/>
        </w:rPr>
        <w:t xml:space="preserve"> </w:t>
      </w:r>
      <w:r>
        <w:t>BWV</w:t>
      </w:r>
      <w:r>
        <w:rPr>
          <w:spacing w:val="-16"/>
        </w:rPr>
        <w:t xml:space="preserve"> </w:t>
      </w:r>
      <w:r>
        <w:t>cameras</w:t>
      </w:r>
      <w:r>
        <w:rPr>
          <w:spacing w:val="-14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cause</w:t>
      </w:r>
      <w:r>
        <w:rPr>
          <w:spacing w:val="-13"/>
        </w:rPr>
        <w:t xml:space="preserve"> </w:t>
      </w:r>
      <w:r>
        <w:t>electrostatic interference which may trigger explosive devices.</w:t>
      </w:r>
      <w:r>
        <w:rPr>
          <w:spacing w:val="-1"/>
        </w:rPr>
        <w:t xml:space="preserve"> </w:t>
      </w:r>
      <w:r>
        <w:t>Therefore, BWV</w:t>
      </w:r>
      <w:r>
        <w:rPr>
          <w:spacing w:val="-1"/>
        </w:rPr>
        <w:t xml:space="preserve"> </w:t>
      </w:r>
      <w:r>
        <w:t xml:space="preserve">equipment </w:t>
      </w:r>
      <w:r>
        <w:rPr>
          <w:b/>
        </w:rPr>
        <w:t xml:space="preserve">MUST NOT </w:t>
      </w:r>
      <w:r>
        <w:t>be used in an area where it is believed that explosive devices may be present.</w:t>
      </w:r>
    </w:p>
    <w:p w14:paraId="2C77604D" w14:textId="77777777" w:rsidR="00C07341" w:rsidRDefault="00C07341">
      <w:pPr>
        <w:pStyle w:val="BodyText"/>
        <w:spacing w:before="2"/>
      </w:pPr>
    </w:p>
    <w:p w14:paraId="7AB628D6" w14:textId="77777777" w:rsidR="00C07341" w:rsidRDefault="00000000">
      <w:pPr>
        <w:pStyle w:val="ListParagraph"/>
        <w:numPr>
          <w:ilvl w:val="0"/>
          <w:numId w:val="1"/>
        </w:numPr>
        <w:tabs>
          <w:tab w:val="left" w:pos="501"/>
        </w:tabs>
        <w:ind w:left="501" w:hanging="401"/>
        <w:rPr>
          <w:b/>
          <w:sz w:val="24"/>
        </w:rPr>
      </w:pPr>
      <w:r>
        <w:rPr>
          <w:b/>
          <w:sz w:val="24"/>
        </w:rPr>
        <w:t>Requests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Footage</w:t>
      </w:r>
    </w:p>
    <w:p w14:paraId="394982CB" w14:textId="77777777" w:rsidR="00C07341" w:rsidRDefault="00C07341">
      <w:pPr>
        <w:pStyle w:val="BodyText"/>
        <w:rPr>
          <w:b/>
        </w:rPr>
      </w:pPr>
    </w:p>
    <w:p w14:paraId="542B72B2" w14:textId="77777777" w:rsidR="00C07341" w:rsidRDefault="00000000">
      <w:pPr>
        <w:pStyle w:val="BodyText"/>
        <w:ind w:left="100" w:right="771"/>
      </w:pPr>
      <w:r>
        <w:t>All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link. </w:t>
      </w:r>
      <w:hyperlink r:id="rId9" w:anchor="L5">
        <w:r>
          <w:rPr>
            <w:color w:val="0000FF"/>
            <w:spacing w:val="-2"/>
            <w:u w:val="single" w:color="0000FF"/>
          </w:rPr>
          <w:t>https://www.ashfield.gov.uk/your-council/legal-stuff/privacy-statement/#L5</w:t>
        </w:r>
      </w:hyperlink>
    </w:p>
    <w:sectPr w:rsidR="00C07341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72E46"/>
    <w:multiLevelType w:val="hybridMultilevel"/>
    <w:tmpl w:val="047E9118"/>
    <w:lvl w:ilvl="0" w:tplc="E3CCC064">
      <w:start w:val="4"/>
      <w:numFmt w:val="decimal"/>
      <w:lvlText w:val="%1.0"/>
      <w:lvlJc w:val="left"/>
      <w:pPr>
        <w:ind w:left="566" w:hanging="4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11299B2">
      <w:numFmt w:val="bullet"/>
      <w:lvlText w:val="•"/>
      <w:lvlJc w:val="left"/>
      <w:pPr>
        <w:ind w:left="1428" w:hanging="466"/>
      </w:pPr>
      <w:rPr>
        <w:rFonts w:hint="default"/>
        <w:lang w:val="en-US" w:eastAsia="en-US" w:bidi="ar-SA"/>
      </w:rPr>
    </w:lvl>
    <w:lvl w:ilvl="2" w:tplc="EE1E86B4">
      <w:numFmt w:val="bullet"/>
      <w:lvlText w:val="•"/>
      <w:lvlJc w:val="left"/>
      <w:pPr>
        <w:ind w:left="2297" w:hanging="466"/>
      </w:pPr>
      <w:rPr>
        <w:rFonts w:hint="default"/>
        <w:lang w:val="en-US" w:eastAsia="en-US" w:bidi="ar-SA"/>
      </w:rPr>
    </w:lvl>
    <w:lvl w:ilvl="3" w:tplc="4C7CB484">
      <w:numFmt w:val="bullet"/>
      <w:lvlText w:val="•"/>
      <w:lvlJc w:val="left"/>
      <w:pPr>
        <w:ind w:left="3165" w:hanging="466"/>
      </w:pPr>
      <w:rPr>
        <w:rFonts w:hint="default"/>
        <w:lang w:val="en-US" w:eastAsia="en-US" w:bidi="ar-SA"/>
      </w:rPr>
    </w:lvl>
    <w:lvl w:ilvl="4" w:tplc="BACE03BE">
      <w:numFmt w:val="bullet"/>
      <w:lvlText w:val="•"/>
      <w:lvlJc w:val="left"/>
      <w:pPr>
        <w:ind w:left="4034" w:hanging="466"/>
      </w:pPr>
      <w:rPr>
        <w:rFonts w:hint="default"/>
        <w:lang w:val="en-US" w:eastAsia="en-US" w:bidi="ar-SA"/>
      </w:rPr>
    </w:lvl>
    <w:lvl w:ilvl="5" w:tplc="EA0C7DC6">
      <w:numFmt w:val="bullet"/>
      <w:lvlText w:val="•"/>
      <w:lvlJc w:val="left"/>
      <w:pPr>
        <w:ind w:left="4903" w:hanging="466"/>
      </w:pPr>
      <w:rPr>
        <w:rFonts w:hint="default"/>
        <w:lang w:val="en-US" w:eastAsia="en-US" w:bidi="ar-SA"/>
      </w:rPr>
    </w:lvl>
    <w:lvl w:ilvl="6" w:tplc="8522DA30">
      <w:numFmt w:val="bullet"/>
      <w:lvlText w:val="•"/>
      <w:lvlJc w:val="left"/>
      <w:pPr>
        <w:ind w:left="5771" w:hanging="466"/>
      </w:pPr>
      <w:rPr>
        <w:rFonts w:hint="default"/>
        <w:lang w:val="en-US" w:eastAsia="en-US" w:bidi="ar-SA"/>
      </w:rPr>
    </w:lvl>
    <w:lvl w:ilvl="7" w:tplc="FE5EED4A">
      <w:numFmt w:val="bullet"/>
      <w:lvlText w:val="•"/>
      <w:lvlJc w:val="left"/>
      <w:pPr>
        <w:ind w:left="6640" w:hanging="466"/>
      </w:pPr>
      <w:rPr>
        <w:rFonts w:hint="default"/>
        <w:lang w:val="en-US" w:eastAsia="en-US" w:bidi="ar-SA"/>
      </w:rPr>
    </w:lvl>
    <w:lvl w:ilvl="8" w:tplc="F5660F1E">
      <w:numFmt w:val="bullet"/>
      <w:lvlText w:val="•"/>
      <w:lvlJc w:val="left"/>
      <w:pPr>
        <w:ind w:left="7509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4BF068D7"/>
    <w:multiLevelType w:val="multilevel"/>
    <w:tmpl w:val="AEA0CFF8"/>
    <w:lvl w:ilvl="0">
      <w:start w:val="1"/>
      <w:numFmt w:val="decimal"/>
      <w:lvlText w:val="%1"/>
      <w:lvlJc w:val="left"/>
      <w:pPr>
        <w:ind w:left="491" w:hanging="3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1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49" w:hanging="3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3" w:hanging="3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8" w:hanging="3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3" w:hanging="3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7" w:hanging="3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2" w:hanging="3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7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4CCC6F3A"/>
    <w:multiLevelType w:val="multilevel"/>
    <w:tmpl w:val="F940B326"/>
    <w:lvl w:ilvl="0">
      <w:start w:val="2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1" w:hanging="392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</w:abstractNum>
  <w:num w:numId="1" w16cid:durableId="188376607">
    <w:abstractNumId w:val="0"/>
  </w:num>
  <w:num w:numId="2" w16cid:durableId="1346862028">
    <w:abstractNumId w:val="2"/>
  </w:num>
  <w:num w:numId="3" w16cid:durableId="161725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6E6501"/>
    <w:rsid w:val="007F7B42"/>
    <w:rsid w:val="008B5225"/>
    <w:rsid w:val="00BC629D"/>
    <w:rsid w:val="00C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4709"/>
  <w15:docId w15:val="{293E5150-6011-4E37-9273-F6D168B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1" w:hanging="3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ci/media/3665/adc-retention-schedule-0304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field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field.gov.uk/your-council/legal-stuff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hfield.gov.uk/your-council/legal-stuff/privacy-stat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Worn Video Policy</dc:title>
  <cp:lastModifiedBy>Sharon.Simcox</cp:lastModifiedBy>
  <cp:revision>2</cp:revision>
  <dcterms:created xsi:type="dcterms:W3CDTF">2024-09-13T14:54:00Z</dcterms:created>
  <dcterms:modified xsi:type="dcterms:W3CDTF">2024-09-13T14:54:00Z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2024-09-13T00:00:00Z</vt:filetime>
  </property>
</Properties>
</file>